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both"/>
        <w:rPr>
          <w:rFonts w:ascii="宋体"/>
          <w:b/>
          <w:color w:val="FF0000"/>
          <w:spacing w:val="40"/>
          <w:w w:val="90"/>
          <w:kern w:val="15"/>
          <w:sz w:val="24"/>
        </w:rPr>
      </w:pPr>
    </w:p>
    <w:p>
      <w:pPr>
        <w:spacing w:beforeLines="50" w:afterLines="50"/>
        <w:jc w:val="both"/>
        <w:rPr>
          <w:rFonts w:ascii="宋体"/>
          <w:b/>
          <w:color w:val="FF0000"/>
          <w:spacing w:val="40"/>
          <w:w w:val="90"/>
          <w:kern w:val="15"/>
          <w:sz w:val="24"/>
        </w:rPr>
      </w:pPr>
    </w:p>
    <w:p>
      <w:pPr>
        <w:spacing w:beforeLines="50" w:afterLines="50"/>
        <w:jc w:val="both"/>
        <w:rPr>
          <w:rFonts w:ascii="宋体"/>
          <w:b/>
          <w:color w:val="FF0000"/>
          <w:spacing w:val="40"/>
          <w:w w:val="90"/>
          <w:kern w:val="15"/>
          <w:sz w:val="24"/>
        </w:rPr>
      </w:pPr>
    </w:p>
    <w:p>
      <w:pPr>
        <w:spacing w:beforeLines="50" w:afterLines="50"/>
        <w:jc w:val="both"/>
        <w:rPr>
          <w:rFonts w:ascii="宋体"/>
          <w:b/>
          <w:color w:val="FF0000"/>
          <w:spacing w:val="40"/>
          <w:w w:val="90"/>
          <w:kern w:val="15"/>
          <w:sz w:val="24"/>
        </w:rPr>
      </w:pPr>
    </w:p>
    <w:p>
      <w:pPr>
        <w:spacing w:beforeLines="50" w:afterLines="50"/>
        <w:jc w:val="center"/>
        <w:rPr>
          <w:rFonts w:hint="eastAsia" w:ascii="方正小标宋简体" w:hAnsi="方正小标宋简体" w:eastAsia="方正小标宋简体" w:cs="方正小标宋简体"/>
          <w:b/>
          <w:color w:val="FF0000"/>
          <w:spacing w:val="40"/>
          <w:w w:val="90"/>
          <w:kern w:val="15"/>
          <w:sz w:val="96"/>
          <w:szCs w:val="88"/>
        </w:rPr>
      </w:pPr>
      <w:r>
        <w:rPr>
          <w:rFonts w:hint="eastAsia" w:ascii="方正小标宋简体" w:hAnsi="方正小标宋简体" w:eastAsia="方正小标宋简体" w:cs="方正小标宋简体"/>
          <w:b/>
          <w:color w:val="FF0000"/>
          <w:spacing w:val="40"/>
          <w:w w:val="90"/>
          <w:kern w:val="15"/>
          <w:sz w:val="96"/>
          <w:szCs w:val="88"/>
        </w:rPr>
        <w:t>福建省教育厅文件</w:t>
      </w:r>
    </w:p>
    <w:p>
      <w:pPr>
        <w:jc w:val="center"/>
        <w:rPr>
          <w:rFonts w:ascii="仿宋_GB2312" w:hAnsi="华文仿宋" w:eastAsia="仿宋_GB2312"/>
          <w:sz w:val="32"/>
          <w:szCs w:val="32"/>
        </w:rPr>
      </w:pPr>
    </w:p>
    <w:p>
      <w:pPr>
        <w:jc w:val="center"/>
        <w:rPr>
          <w:rFonts w:ascii="仿宋_GB2312" w:eastAsia="仿宋_GB2312"/>
          <w:sz w:val="32"/>
          <w:szCs w:val="32"/>
        </w:rPr>
      </w:pPr>
      <w:r>
        <w:rPr>
          <w:rFonts w:hint="eastAsia" w:ascii="仿宋_GB2312" w:hAnsi="华文仿宋" w:eastAsia="仿宋_GB2312"/>
          <w:sz w:val="32"/>
          <w:szCs w:val="32"/>
        </w:rPr>
        <w:t>闽教学〔</w:t>
      </w:r>
      <w:r>
        <w:rPr>
          <w:rFonts w:ascii="仿宋_GB2312" w:hAnsi="华文仿宋" w:eastAsia="仿宋_GB2312"/>
          <w:sz w:val="32"/>
          <w:szCs w:val="32"/>
        </w:rPr>
        <w:t>201</w:t>
      </w:r>
      <w:r>
        <w:rPr>
          <w:rFonts w:hint="eastAsia" w:ascii="仿宋_GB2312" w:hAnsi="华文仿宋" w:eastAsia="仿宋_GB2312"/>
          <w:sz w:val="32"/>
          <w:szCs w:val="32"/>
          <w:lang w:val="en-US" w:eastAsia="zh-CN"/>
        </w:rPr>
        <w:t>9</w:t>
      </w:r>
      <w:r>
        <w:rPr>
          <w:rFonts w:ascii="仿宋_GB2312" w:hAnsi="华文仿宋" w:eastAsia="仿宋_GB2312"/>
          <w:sz w:val="32"/>
          <w:szCs w:val="32"/>
        </w:rPr>
        <w:t>〕</w:t>
      </w:r>
      <w:r>
        <w:rPr>
          <w:rFonts w:hint="eastAsia" w:ascii="仿宋_GB2312" w:hAnsi="华文仿宋" w:eastAsia="仿宋_GB2312"/>
          <w:sz w:val="32"/>
          <w:szCs w:val="32"/>
          <w:lang w:val="en-US" w:eastAsia="zh-CN"/>
        </w:rPr>
        <w:t>25</w:t>
      </w:r>
      <w:r>
        <w:rPr>
          <w:rFonts w:hint="eastAsia" w:ascii="仿宋_GB2312" w:eastAsia="仿宋_GB2312"/>
          <w:sz w:val="32"/>
          <w:szCs w:val="32"/>
        </w:rPr>
        <w:t>号</w:t>
      </w:r>
    </w:p>
    <w:p>
      <w:pPr>
        <w:jc w:val="center"/>
        <w:rPr>
          <w:rFonts w:ascii="仿宋_GB2312" w:hAnsi="华文仿宋" w:eastAsia="仿宋_GB2312"/>
          <w:sz w:val="32"/>
          <w:szCs w:val="32"/>
        </w:rPr>
      </w:pPr>
      <w:r>
        <w:rPr>
          <w:rFonts w:ascii="方正小标宋_GBK" w:eastAsia="方正小标宋_GBK"/>
        </w:rPr>
        <mc:AlternateContent>
          <mc:Choice Requires="wps">
            <w:drawing>
              <wp:anchor distT="0" distB="0" distL="114300" distR="114300" simplePos="0" relativeHeight="3072" behindDoc="0" locked="0" layoutInCell="1" allowOverlap="1">
                <wp:simplePos x="0" y="0"/>
                <wp:positionH relativeFrom="column">
                  <wp:posOffset>69850</wp:posOffset>
                </wp:positionH>
                <wp:positionV relativeFrom="paragraph">
                  <wp:posOffset>201295</wp:posOffset>
                </wp:positionV>
                <wp:extent cx="5534025" cy="635"/>
                <wp:effectExtent l="0" t="12700" r="13335" b="17145"/>
                <wp:wrapNone/>
                <wp:docPr id="8" name="直接箭头连接符 8"/>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pt;margin-top:15.85pt;height:0.05pt;width:435.75pt;z-index:3072;mso-width-relative:page;mso-height-relative:page;" filled="f" stroked="t" coordsize="21600,21600" o:gfxdata="UEsDBAoAAAAAAIdO4kAAAAAAAAAAAAAAAAAEAAAAZHJzL1BLAwQUAAAACACHTuJAiAQuD9cAAAAI&#10;AQAADwAAAGRycy9kb3ducmV2LnhtbE2PzU7DMBCE70i8g7VIXKrWdhEhSuNUqBJHDhQkxM2Nt06E&#10;f0LsNIWnZ3uC4+yMZr+pt2fv2AnH1MegQK4EMAxtNH2wCt5en5YlsJR1MNrFgAq+McG2ub6qdWXi&#10;HF7wtM+WUUlIlVbQ5TxUnKe2Q6/TKg4YyDvG0etMcrTcjHqmcu/4WoiCe90H+tDpAXcdtp/7ySso&#10;vsyP+HjfTc4+y0VxfJyTXVilbm+k2ADLeM5/YbjgEzo0xHSIUzCJOdKSpmQFd/IBGPllub4Hdrgc&#10;SuBNzf8PaH4BUEsDBBQAAAAIAIdO4kCXKdRq5wEAAKEDAAAOAAAAZHJzL2Uyb0RvYy54bWytU0uO&#10;EzEQ3SNxB8t70p3MZDRqpTOLhLBBEAk4QMWfbkv+yTbp5BJcAIkVsAJWs+c0MByDspPJDLBBiF64&#10;y656z1WvyrOrndFkK0JUzrZ0PKopEZY5rmzX0lcvV48uKYkJLAftrGjpXkR6NX/4YDb4Rkxc7zQX&#10;gSCJjc3gW9qn5JuqiqwXBuLIeWHRKV0wkHAbuooHGJDd6GpS1xfV4AL3wTERI54uD046L/xSCpae&#10;SxlFIrqlmFsqayjrJq/VfAZNF8D3ih3TgH/IwoCyeOmJagkJyOug/qAyigUXnUwj5kzlpFRMlBqw&#10;mnH9WzUvevCi1ILiRH+SKf4/WvZsuw5E8ZZioywYbNHN2+vvbz7cfPn87f31j6/vsv3pI7nMUg0+&#10;NohY2HU47qJfh1z3TgaT/1gR2RV59yd5xS4RhofT6dl5PZlSwtB3cTbNjNUd1IeYnghnSDZaGlMA&#10;1fVp4azFNrowLgLD9mlMB+AtIN+rLRlaOpme19hlBjhJUkNC03isLdqugKPTiq+U1hkSQ7dZ6EC2&#10;gLOxWtX4HTP6JSzfsoTYH+KKK4dB0wvgjy0nae9RNYvjTXMORnBKtMDXkK0SmUDpv4lEMbRFTbLM&#10;B2GztXF8X/Qu5zgHRbXjzOZBu78v6LuXNf8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AQuD9cA&#10;AAAIAQAADwAAAAAAAAABACAAAAAiAAAAZHJzL2Rvd25yZXYueG1sUEsBAhQAFAAAAAgAh07iQJcp&#10;1GrnAQAAoQMAAA4AAAAAAAAAAQAgAAAAJgEAAGRycy9lMm9Eb2MueG1sUEsFBgAAAAAGAAYAWQEA&#10;AH8FAAAAAA==&#10;">
                <v:fill on="f" focussize="0,0"/>
                <v:stroke weight="2pt" color="#FF0000" joinstyle="round"/>
                <v:imagedata o:title=""/>
                <o:lock v:ext="edit" aspectratio="f"/>
              </v:shape>
            </w:pict>
          </mc:Fallback>
        </mc:AlternateContent>
      </w:r>
    </w:p>
    <w:p>
      <w:pPr>
        <w:spacing w:line="560" w:lineRule="exact"/>
        <w:jc w:val="center"/>
        <w:rPr>
          <w:rFonts w:hint="eastAsia" w:ascii="方正小标宋简体" w:hAnsi="方正小标宋简体" w:eastAsia="方正小标宋简体" w:cs="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福建省教育厅</w:t>
      </w:r>
      <w:r>
        <w:rPr>
          <w:rFonts w:hint="eastAsia" w:ascii="方正小标宋简体" w:hAnsi="方正小标宋简体" w:eastAsia="方正小标宋简体" w:cs="方正小标宋简体"/>
          <w:sz w:val="44"/>
          <w:szCs w:val="44"/>
        </w:rPr>
        <w:t>关于做好2019年全国成人</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高校招生工作的通知</w:t>
      </w:r>
    </w:p>
    <w:p>
      <w:pPr>
        <w:keepNext w:val="0"/>
        <w:keepLines w:val="0"/>
        <w:pageBreakBefore w:val="0"/>
        <w:widowControl w:val="0"/>
        <w:tabs>
          <w:tab w:val="left" w:pos="7797"/>
        </w:tabs>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仿宋_GB2312" w:hAnsi="仿宋_GB2312" w:eastAsia="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各</w:t>
      </w:r>
      <w:r>
        <w:rPr>
          <w:rStyle w:val="7"/>
          <w:rFonts w:hint="eastAsia" w:ascii="仿宋_GB2312" w:hAnsi="仿宋_GB2312" w:eastAsia="仿宋_GB2312" w:cs="仿宋_GB2312"/>
          <w:b w:val="0"/>
          <w:bCs/>
          <w:sz w:val="32"/>
          <w:szCs w:val="32"/>
          <w:lang w:eastAsia="zh-CN"/>
        </w:rPr>
        <w:t>市、县</w:t>
      </w:r>
      <w:r>
        <w:rPr>
          <w:rStyle w:val="7"/>
          <w:rFonts w:hint="eastAsia" w:ascii="仿宋_GB2312" w:hAnsi="仿宋_GB2312" w:eastAsia="仿宋_GB2312" w:cs="仿宋_GB2312"/>
          <w:b w:val="0"/>
          <w:bCs/>
          <w:sz w:val="32"/>
          <w:szCs w:val="32"/>
          <w:lang w:val="en-US" w:eastAsia="zh-CN"/>
        </w:rPr>
        <w:t>(区)</w:t>
      </w:r>
      <w:r>
        <w:rPr>
          <w:rStyle w:val="7"/>
          <w:rFonts w:hint="eastAsia" w:ascii="仿宋_GB2312" w:hAnsi="仿宋_GB2312" w:eastAsia="仿宋_GB2312" w:cs="仿宋_GB2312"/>
          <w:b w:val="0"/>
          <w:bCs/>
          <w:sz w:val="32"/>
          <w:szCs w:val="32"/>
        </w:rPr>
        <w:t>高等学校招生委员会、教育</w:t>
      </w:r>
      <w:r>
        <w:rPr>
          <w:rStyle w:val="7"/>
          <w:rFonts w:hint="eastAsia" w:ascii="仿宋_GB2312" w:hAnsi="仿宋_GB2312" w:eastAsia="仿宋_GB2312" w:cs="仿宋_GB2312"/>
          <w:b w:val="0"/>
          <w:bCs/>
          <w:sz w:val="32"/>
          <w:szCs w:val="32"/>
          <w:lang w:eastAsia="zh-CN"/>
        </w:rPr>
        <w:t>局</w:t>
      </w:r>
      <w:r>
        <w:rPr>
          <w:rStyle w:val="7"/>
          <w:rFonts w:hint="eastAsia" w:ascii="仿宋_GB2312" w:hAnsi="仿宋_GB2312" w:eastAsia="仿宋_GB2312" w:cs="仿宋_GB2312"/>
          <w:b w:val="0"/>
          <w:bCs/>
          <w:sz w:val="32"/>
          <w:szCs w:val="32"/>
        </w:rPr>
        <w:t>，平潭综合实验区招生委员会、</w:t>
      </w:r>
      <w:r>
        <w:rPr>
          <w:rStyle w:val="7"/>
          <w:rFonts w:hint="eastAsia" w:ascii="仿宋_GB2312" w:hAnsi="仿宋_GB2312" w:eastAsia="仿宋_GB2312" w:cs="仿宋_GB2312"/>
          <w:b w:val="0"/>
          <w:bCs/>
          <w:sz w:val="32"/>
          <w:szCs w:val="32"/>
          <w:lang w:eastAsia="zh-CN"/>
        </w:rPr>
        <w:t>教育局，</w:t>
      </w:r>
      <w:r>
        <w:rPr>
          <w:rStyle w:val="7"/>
          <w:rFonts w:hint="eastAsia" w:ascii="仿宋_GB2312" w:hAnsi="仿宋_GB2312" w:eastAsia="仿宋_GB2312" w:cs="仿宋_GB2312"/>
          <w:b w:val="0"/>
          <w:bCs/>
          <w:sz w:val="32"/>
          <w:szCs w:val="32"/>
        </w:rPr>
        <w:t>各高等学校：</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根据《教育部办公厅关于做好2019年全国成人高校招生工作的通知》（教学厅〔2019〕11号），为做好我省</w:t>
      </w:r>
      <w:r>
        <w:rPr>
          <w:rStyle w:val="7"/>
          <w:rFonts w:hint="eastAsia" w:ascii="仿宋_GB2312" w:hAnsi="仿宋_GB2312" w:eastAsia="仿宋_GB2312" w:cs="仿宋_GB2312"/>
          <w:b w:val="0"/>
          <w:bCs/>
          <w:sz w:val="32"/>
          <w:szCs w:val="32"/>
        </w:rPr>
        <w:t>2019年全国成人高校招生（以下简称成人高考）工作</w:t>
      </w:r>
      <w:r>
        <w:rPr>
          <w:rStyle w:val="7"/>
          <w:rFonts w:hint="eastAsia" w:ascii="仿宋_GB2312" w:hAnsi="仿宋_GB2312" w:eastAsia="仿宋_GB2312" w:cs="仿宋_GB2312"/>
          <w:b w:val="0"/>
          <w:bCs/>
          <w:sz w:val="32"/>
          <w:szCs w:val="32"/>
          <w:lang w:eastAsia="zh-CN"/>
        </w:rPr>
        <w:t>，</w:t>
      </w:r>
      <w:r>
        <w:rPr>
          <w:rStyle w:val="7"/>
          <w:rFonts w:hint="eastAsia" w:ascii="仿宋_GB2312" w:hAnsi="仿宋_GB2312" w:eastAsia="仿宋_GB2312" w:cs="仿宋_GB2312"/>
          <w:b w:val="0"/>
          <w:bCs/>
          <w:sz w:val="32"/>
          <w:szCs w:val="32"/>
        </w:rPr>
        <w:t>进一步加强规范管理，严格考风考纪，确保考试招生工作公平公正</w:t>
      </w:r>
      <w:r>
        <w:rPr>
          <w:rStyle w:val="7"/>
          <w:rFonts w:hint="eastAsia" w:ascii="仿宋_GB2312" w:hAnsi="仿宋_GB2312" w:eastAsia="仿宋_GB2312" w:cs="仿宋_GB2312"/>
          <w:b w:val="0"/>
          <w:bCs/>
          <w:sz w:val="32"/>
          <w:szCs w:val="32"/>
          <w:lang w:eastAsia="zh-CN"/>
        </w:rPr>
        <w:t>、规范有序，现将有关事项通知如下：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Style w:val="7"/>
          <w:rFonts w:hint="eastAsia" w:ascii="仿宋_GB2312" w:hAnsi="仿宋_GB2312" w:eastAsia="仿宋_GB2312" w:cs="仿宋_GB2312"/>
          <w:b w:val="0"/>
          <w:bCs/>
          <w:sz w:val="32"/>
          <w:szCs w:val="32"/>
          <w:lang w:eastAsia="zh-CN"/>
        </w:rPr>
      </w:pPr>
      <w:r>
        <w:rPr>
          <w:rStyle w:val="7"/>
          <w:rFonts w:hint="eastAsia" w:ascii="黑体" w:hAnsi="黑体" w:eastAsia="黑体" w:cs="黑体"/>
          <w:b/>
          <w:bCs w:val="0"/>
          <w:sz w:val="32"/>
          <w:szCs w:val="32"/>
          <w:lang w:eastAsia="zh-CN"/>
        </w:rPr>
        <w:t>一、全力保障成人高考安全平稳实施。</w:t>
      </w:r>
      <w:r>
        <w:rPr>
          <w:rStyle w:val="7"/>
          <w:rFonts w:hint="eastAsia" w:ascii="仿宋_GB2312" w:hAnsi="仿宋_GB2312" w:eastAsia="仿宋_GB2312" w:cs="仿宋_GB2312"/>
          <w:b w:val="0"/>
          <w:bCs/>
          <w:sz w:val="32"/>
          <w:szCs w:val="32"/>
          <w:lang w:eastAsia="zh-CN"/>
        </w:rPr>
        <w:t>各地要充分认识当前国家教育统一考试面临的严峻形势，</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工作政治性、复杂性、敏感性的认识，</w:t>
      </w:r>
      <w:r>
        <w:rPr>
          <w:rFonts w:hint="eastAsia" w:ascii="仿宋_GB2312" w:hAnsi="Times New Roman" w:eastAsia="仿宋_GB2312" w:cs="仿宋_GB2312"/>
          <w:kern w:val="0"/>
          <w:sz w:val="32"/>
          <w:szCs w:val="32"/>
        </w:rPr>
        <w:t>把考试安全的各项要求细化、实化、具体化，落实到考试组织各个环节</w:t>
      </w:r>
      <w:r>
        <w:rPr>
          <w:rStyle w:val="7"/>
          <w:rFonts w:hint="eastAsia" w:ascii="仿宋_GB2312" w:hAnsi="仿宋_GB2312" w:eastAsia="仿宋_GB2312" w:cs="仿宋_GB2312"/>
          <w:b w:val="0"/>
          <w:bCs/>
          <w:sz w:val="32"/>
          <w:szCs w:val="32"/>
          <w:lang w:eastAsia="zh-CN"/>
        </w:rPr>
        <w:t>。各设区市高校招生委员会是本行政区域内组织成人高考、治理考试环境、整治考风考纪、维护考试安全的责任主体，主要负责同志是第一责任人，设区市教育行政部门分管负责同志和招生考试机构主要负责同志是直接责任人。各地各高校要在当地党委和政府领导下，加强对成人高考工作的组织领导，层层落实考试安全主体责任，逐级签订考试安全责任书；主要负责同志要深入一线指挥，亲自把关、亲自协调、亲自督察，不能草率大意、粗糙行事。严格执行高校考试招生管理工作八项基本要求，重大问题决策要及时向市委市政府汇报，并报告省教育厅。</w:t>
      </w:r>
    </w:p>
    <w:p>
      <w:pPr>
        <w:keepNext w:val="0"/>
        <w:keepLines w:val="0"/>
        <w:pageBreakBefore w:val="0"/>
        <w:widowControl w:val="0"/>
        <w:kinsoku/>
        <w:overflowPunct/>
        <w:topLinePunct w:val="0"/>
        <w:autoSpaceDE/>
        <w:autoSpaceDN/>
        <w:bidi w:val="0"/>
        <w:spacing w:line="560" w:lineRule="exact"/>
        <w:ind w:left="0" w:leftChars="0" w:right="0" w:rightChars="0" w:firstLine="643" w:firstLineChars="200"/>
        <w:textAlignment w:val="auto"/>
        <w:rPr>
          <w:rStyle w:val="7"/>
          <w:rFonts w:hint="eastAsia" w:ascii="仿宋_GB2312" w:hAnsi="仿宋_GB2312" w:eastAsia="仿宋_GB2312" w:cs="仿宋_GB2312"/>
          <w:b w:val="0"/>
          <w:bCs/>
          <w:sz w:val="32"/>
          <w:szCs w:val="32"/>
          <w:lang w:eastAsia="zh-CN"/>
        </w:rPr>
      </w:pPr>
      <w:r>
        <w:rPr>
          <w:rStyle w:val="7"/>
          <w:rFonts w:hint="eastAsia" w:ascii="黑体" w:hAnsi="黑体" w:eastAsia="黑体" w:cs="黑体"/>
          <w:b/>
          <w:bCs w:val="0"/>
          <w:sz w:val="32"/>
          <w:szCs w:val="32"/>
          <w:lang w:eastAsia="zh-CN"/>
        </w:rPr>
        <w:t>二、严格考生报名资格审核。</w:t>
      </w:r>
      <w:r>
        <w:rPr>
          <w:rStyle w:val="7"/>
          <w:rFonts w:hint="eastAsia" w:ascii="仿宋_GB2312" w:hAnsi="仿宋_GB2312" w:eastAsia="仿宋_GB2312" w:cs="仿宋_GB2312"/>
          <w:b w:val="0"/>
          <w:bCs/>
          <w:sz w:val="32"/>
          <w:szCs w:val="32"/>
          <w:lang w:eastAsia="zh-CN"/>
        </w:rPr>
        <w:t>各地要明晰成人高等教育办学定位，进一步完善相关工作措施，充分体现为在职从业人员服务、以业余学习为主的特点。严格按照《201</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lang w:eastAsia="zh-CN"/>
        </w:rPr>
        <w:t>年福建省成人高等学校考试招生规定》（见附件</w:t>
      </w:r>
      <w:r>
        <w:rPr>
          <w:rStyle w:val="7"/>
          <w:rFonts w:hint="eastAsia" w:ascii="仿宋_GB2312" w:hAnsi="仿宋_GB2312" w:eastAsia="仿宋_GB2312" w:cs="仿宋_GB2312"/>
          <w:b w:val="0"/>
          <w:bCs/>
          <w:sz w:val="32"/>
          <w:szCs w:val="32"/>
          <w:lang w:val="en-US" w:eastAsia="zh-CN"/>
        </w:rPr>
        <w:t>）</w:t>
      </w:r>
      <w:r>
        <w:rPr>
          <w:rStyle w:val="7"/>
          <w:rFonts w:hint="eastAsia" w:ascii="仿宋_GB2312" w:hAnsi="仿宋_GB2312" w:eastAsia="仿宋_GB2312" w:cs="仿宋_GB2312"/>
          <w:b w:val="0"/>
          <w:bCs/>
          <w:sz w:val="32"/>
          <w:szCs w:val="32"/>
          <w:lang w:eastAsia="zh-CN"/>
        </w:rPr>
        <w:t>报名条件，会同有关部门加强对考生报名资格审核。防范中介机构和单位大规模组织不具备学习条件人员异地报考、录取和学习。会同有关部门，加强对申请“录取及投档照顾政策”考生的资格审查和公示，未经公示和公示不通过的考生一律不得享受相关照顾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Style w:val="7"/>
          <w:rFonts w:hint="eastAsia" w:ascii="仿宋_GB2312" w:hAnsi="仿宋_GB2312" w:eastAsia="仿宋_GB2312" w:cs="仿宋_GB2312"/>
          <w:b w:val="0"/>
          <w:bCs/>
          <w:sz w:val="32"/>
          <w:szCs w:val="32"/>
          <w:lang w:eastAsia="zh-CN"/>
        </w:rPr>
      </w:pPr>
      <w:r>
        <w:rPr>
          <w:rStyle w:val="7"/>
          <w:rFonts w:hint="eastAsia" w:ascii="黑体" w:hAnsi="黑体" w:eastAsia="黑体" w:cs="黑体"/>
          <w:b/>
          <w:bCs w:val="0"/>
          <w:sz w:val="32"/>
          <w:szCs w:val="32"/>
          <w:lang w:eastAsia="zh-CN"/>
        </w:rPr>
        <w:t>三、严格招生来源计划编制和管理。</w:t>
      </w:r>
      <w:r>
        <w:rPr>
          <w:rStyle w:val="7"/>
          <w:rFonts w:hint="eastAsia" w:ascii="仿宋_GB2312" w:hAnsi="仿宋_GB2312" w:eastAsia="仿宋_GB2312" w:cs="仿宋_GB2312"/>
          <w:b w:val="0"/>
          <w:bCs/>
          <w:sz w:val="32"/>
          <w:szCs w:val="32"/>
          <w:lang w:eastAsia="zh-CN"/>
        </w:rPr>
        <w:t>高校要结合经济社会发展，加强对本地区、本行业成人高等教育需求的分析预测，综合考虑学校办学条件、报名人数及2019年高职院校扩招百万等因素，优化招生专业结构，严格按照脱产、业余、函授等不同学习形式科学编制招生来源计划。各高校要按照2019年全国成人高校招生工作进程和有关计划编制时间安排，按时完成计划编制各阶段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7"/>
          <w:rFonts w:hint="eastAsia" w:ascii="仿宋_GB2312" w:hAnsi="仿宋_GB2312" w:eastAsia="仿宋_GB2312" w:cs="仿宋_GB2312"/>
          <w:b w:val="0"/>
          <w:bCs/>
          <w:sz w:val="32"/>
          <w:szCs w:val="32"/>
          <w:lang w:eastAsia="zh-CN"/>
        </w:rPr>
      </w:pPr>
      <w:r>
        <w:rPr>
          <w:rStyle w:val="7"/>
          <w:rFonts w:hint="eastAsia" w:ascii="黑体" w:hAnsi="黑体" w:eastAsia="黑体" w:cs="黑体"/>
          <w:b/>
          <w:bCs w:val="0"/>
          <w:sz w:val="32"/>
          <w:szCs w:val="32"/>
          <w:lang w:eastAsia="zh-CN"/>
        </w:rPr>
        <w:t>四、严格规范考试组织管理。</w:t>
      </w:r>
      <w:r>
        <w:rPr>
          <w:rStyle w:val="7"/>
          <w:rFonts w:hint="eastAsia" w:ascii="仿宋_GB2312" w:hAnsi="仿宋_GB2312" w:eastAsia="仿宋_GB2312" w:cs="仿宋_GB2312"/>
          <w:b w:val="0"/>
          <w:bCs/>
          <w:sz w:val="32"/>
          <w:szCs w:val="32"/>
          <w:lang w:eastAsia="zh-CN"/>
        </w:rPr>
        <w:t>各地要充分发挥高等学校招生委员会工作机制作用，健全联防联控、齐抓共管的工作机制，严格和规范考试招生全流程管理，确保每个环节都有人负责、有人监管，不出现任何差错。集中开展净化涉考网络环境、打击销售作弊器材、净化考点周边环境、打击替考作弊、清理整顿涉考培训机构和助考中介等专项行动，综合治理考试环境。加强从制卷、运送、保管、分发、施考、评卷全过程管理，确保试题试卷绝对安全。严格按考务管理规定做好考试组织，严格考场考风考纪管理。成人高考必须全部安排在标准化考点进行，相关学校有义务承担考试任务并按要求做好工作，确保成人高考期间标准化考点能用、管用且必须使用。健全应急预案，加强对舆情和应急事件的预判研判，完善快速妥善处置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Style w:val="7"/>
          <w:rFonts w:hint="eastAsia" w:ascii="仿宋_GB2312" w:hAnsi="仿宋_GB2312" w:eastAsia="仿宋_GB2312" w:cs="仿宋_GB2312"/>
          <w:b w:val="0"/>
          <w:bCs/>
          <w:sz w:val="32"/>
          <w:szCs w:val="32"/>
          <w:lang w:eastAsia="zh-CN"/>
        </w:rPr>
      </w:pPr>
      <w:r>
        <w:rPr>
          <w:rStyle w:val="7"/>
          <w:rFonts w:hint="eastAsia" w:ascii="黑体" w:hAnsi="黑体" w:eastAsia="黑体" w:cs="黑体"/>
          <w:b/>
          <w:bCs w:val="0"/>
          <w:sz w:val="32"/>
          <w:szCs w:val="32"/>
          <w:lang w:eastAsia="zh-CN"/>
        </w:rPr>
        <w:t>五、严格规范招生录取管理。</w:t>
      </w:r>
      <w:r>
        <w:rPr>
          <w:rStyle w:val="7"/>
          <w:rFonts w:hint="eastAsia" w:ascii="仿宋_GB2312" w:hAnsi="仿宋_GB2312" w:eastAsia="仿宋_GB2312" w:cs="仿宋_GB2312"/>
          <w:b w:val="0"/>
          <w:bCs/>
          <w:sz w:val="32"/>
          <w:szCs w:val="32"/>
          <w:lang w:eastAsia="zh-CN"/>
        </w:rPr>
        <w:t>各高校要严格执行招生政策，严格执行招生计划，严格遵守招生纪律，参照执行普通高校“30个不得”工作禁令。加强对成人高校函授站点监管，完善年度备案制度，严控函授站点的标准条件，加强办学质量检查和评估。严肃查处成人高校虚假宣传、违规承诺等方式进行恶性生源竞争行为。科学划定最低录取控制分数线，提高人才选拔质量，保证录取新生达到接受高一层次教育的培养要求。加强新生入学资格复查，严格学籍注册管理，严防冒名顶替上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Style w:val="7"/>
          <w:rFonts w:hint="eastAsia" w:ascii="仿宋_GB2312" w:hAnsi="仿宋_GB2312" w:eastAsia="仿宋_GB2312" w:cs="仿宋_GB2312"/>
          <w:b w:val="0"/>
          <w:bCs/>
          <w:sz w:val="32"/>
          <w:szCs w:val="32"/>
          <w:lang w:eastAsia="zh-CN"/>
        </w:rPr>
      </w:pPr>
      <w:r>
        <w:rPr>
          <w:rStyle w:val="7"/>
          <w:rFonts w:hint="eastAsia" w:ascii="黑体" w:hAnsi="黑体" w:eastAsia="黑体" w:cs="黑体"/>
          <w:b/>
          <w:bCs w:val="0"/>
          <w:sz w:val="32"/>
          <w:szCs w:val="32"/>
          <w:lang w:eastAsia="zh-CN"/>
        </w:rPr>
        <w:t>六、严肃查处违规违纪行为。</w:t>
      </w:r>
      <w:r>
        <w:rPr>
          <w:rStyle w:val="7"/>
          <w:rFonts w:hint="eastAsia" w:ascii="仿宋_GB2312" w:hAnsi="仿宋_GB2312" w:eastAsia="仿宋_GB2312" w:cs="仿宋_GB2312"/>
          <w:b w:val="0"/>
          <w:bCs/>
          <w:sz w:val="32"/>
          <w:szCs w:val="32"/>
          <w:lang w:eastAsia="zh-CN"/>
        </w:rPr>
        <w:t>各地各高校要加强执纪问责。对违反考试有关规定的单位和个人，要依照《国家教育考试违规处理办法》（教育部令第33号）严肃处理。对违反招生有关规定的单位和个人，要参照《普通高等学校招生违规处理暂行办法》（教育部令第36号）严肃处理，并对有关责任人员依纪依规追责问责。对存在组织作弊、提供作弊器材、出售考题及答案、替考等涉嫌犯罪的严重作弊或扰乱考试秩序的行为，要及时固定证据，移送司法机关依法追究刑事责任，严肃处理违纪违规行为，确保考试招生领域风清气正。</w:t>
      </w:r>
    </w:p>
    <w:p>
      <w:pPr>
        <w:keepNext w:val="0"/>
        <w:keepLines w:val="0"/>
        <w:pageBreakBefore w:val="0"/>
        <w:widowControl w:val="0"/>
        <w:kinsoku/>
        <w:overflowPunct/>
        <w:topLinePunct w:val="0"/>
        <w:autoSpaceDE/>
        <w:autoSpaceDN/>
        <w:bidi w:val="0"/>
        <w:spacing w:line="560" w:lineRule="exact"/>
        <w:ind w:left="0" w:leftChars="0" w:right="0" w:rightChars="0" w:firstLine="643" w:firstLineChars="200"/>
        <w:textAlignment w:val="auto"/>
        <w:rPr>
          <w:rStyle w:val="7"/>
          <w:rFonts w:hint="eastAsia" w:ascii="仿宋_GB2312" w:hAnsi="仿宋_GB2312" w:eastAsia="仿宋_GB2312" w:cs="仿宋_GB2312"/>
          <w:b w:val="0"/>
          <w:bCs/>
          <w:sz w:val="32"/>
          <w:szCs w:val="32"/>
          <w:lang w:eastAsia="zh-CN"/>
        </w:rPr>
      </w:pPr>
      <w:r>
        <w:rPr>
          <w:rStyle w:val="7"/>
          <w:rFonts w:hint="eastAsia" w:ascii="黑体" w:hAnsi="黑体" w:eastAsia="黑体" w:cs="黑体"/>
          <w:b/>
          <w:bCs w:val="0"/>
          <w:sz w:val="32"/>
          <w:szCs w:val="32"/>
          <w:lang w:eastAsia="zh-CN"/>
        </w:rPr>
        <w:t>七、加强招生宣传服务。</w:t>
      </w:r>
      <w:r>
        <w:rPr>
          <w:rStyle w:val="7"/>
          <w:rFonts w:hint="eastAsia" w:ascii="仿宋_GB2312" w:hAnsi="仿宋_GB2312" w:eastAsia="仿宋_GB2312" w:cs="仿宋_GB2312"/>
          <w:b w:val="0"/>
          <w:bCs/>
          <w:sz w:val="32"/>
          <w:szCs w:val="32"/>
          <w:lang w:eastAsia="zh-CN"/>
        </w:rPr>
        <w:t>各地各高校要充分利用主流媒体和新媒体，大力宣传成人高校招生政策，积极开展诚信考试教育。要提醒考生关注知悉国家统一法律职业资格考试改革和医学、外语、艺术等相关科类专业招生政策规定，积极配合退役军人事务部宣传《关于促进新时代退役军人就业创业工作的意见》（退役军人部发〔2019〕26号）中有关“成人高校招生专升本免试入学”政策，鼓励退役军人积极报考。在成人高校招生考试不同的阶段，有针对性地开展招生预警，提醒考生切勿上当受骗。加强网络舆情监控，及早发现、引导舆论，及时回应社会关切，有效应对不实宣传和恶意炒作，防止有害信息传播，确保不发生舆情。</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rPr>
          <w:rStyle w:val="7"/>
          <w:rFonts w:hint="eastAsia" w:ascii="仿宋_GB2312" w:hAnsi="仿宋_GB2312" w:eastAsia="仿宋_GB2312" w:cs="仿宋_GB2312"/>
          <w:b w:val="0"/>
          <w:bCs/>
          <w:sz w:val="32"/>
          <w:szCs w:val="32"/>
          <w:lang w:eastAsia="zh-CN"/>
        </w:rPr>
      </w:pP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附件：2019年福建省成人高等学校考试招生规定</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 xml:space="preserve">                                  </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rPr>
          <w:rStyle w:val="7"/>
          <w:rFonts w:hint="eastAsia" w:ascii="仿宋_GB2312" w:hAnsi="仿宋_GB2312" w:eastAsia="仿宋_GB2312" w:cs="仿宋_GB2312"/>
          <w:b w:val="0"/>
          <w:bCs/>
          <w:sz w:val="32"/>
          <w:szCs w:val="32"/>
          <w:lang w:eastAsia="zh-CN"/>
        </w:rPr>
      </w:pP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 xml:space="preserve">      </w:t>
      </w:r>
    </w:p>
    <w:p>
      <w:pPr>
        <w:keepNext w:val="0"/>
        <w:keepLines w:val="0"/>
        <w:pageBreakBefore w:val="0"/>
        <w:widowControl w:val="0"/>
        <w:kinsoku/>
        <w:wordWrap w:val="0"/>
        <w:overflowPunct/>
        <w:topLinePunct w:val="0"/>
        <w:autoSpaceDE/>
        <w:autoSpaceDN/>
        <w:bidi w:val="0"/>
        <w:spacing w:line="560" w:lineRule="exact"/>
        <w:ind w:left="0" w:leftChars="0" w:right="0" w:rightChars="0" w:firstLine="640" w:firstLineChars="200"/>
        <w:jc w:val="center"/>
        <w:textAlignment w:val="auto"/>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val="en-US" w:eastAsia="zh-CN"/>
        </w:rPr>
        <w:t xml:space="preserve">                        </w:t>
      </w:r>
      <w:r>
        <w:rPr>
          <w:rStyle w:val="7"/>
          <w:rFonts w:hint="eastAsia" w:ascii="仿宋_GB2312" w:hAnsi="仿宋_GB2312" w:eastAsia="仿宋_GB2312" w:cs="仿宋_GB2312"/>
          <w:b w:val="0"/>
          <w:bCs/>
          <w:sz w:val="32"/>
          <w:szCs w:val="32"/>
          <w:lang w:eastAsia="zh-CN"/>
        </w:rPr>
        <w:t>福建省教育厅</w:t>
      </w:r>
      <w:r>
        <w:rPr>
          <w:rStyle w:val="7"/>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Calibri" w:eastAsia="仿宋_GB2312"/>
          <w:b/>
          <w:spacing w:val="-20"/>
          <w:sz w:val="32"/>
          <w:szCs w:val="32"/>
          <w:lang w:eastAsia="zh-CN"/>
        </w:rPr>
      </w:pPr>
      <w:r>
        <w:rPr>
          <w:rStyle w:val="7"/>
          <w:rFonts w:hint="eastAsia" w:ascii="仿宋_GB2312" w:hAnsi="仿宋_GB2312" w:eastAsia="仿宋_GB2312" w:cs="仿宋_GB2312"/>
          <w:b w:val="0"/>
          <w:bCs/>
          <w:sz w:val="32"/>
          <w:szCs w:val="32"/>
          <w:lang w:eastAsia="zh-CN"/>
        </w:rPr>
        <w:t xml:space="preserve">                         2019年8月</w:t>
      </w:r>
      <w:r>
        <w:rPr>
          <w:rStyle w:val="7"/>
          <w:rFonts w:hint="eastAsia" w:ascii="仿宋_GB2312" w:hAnsi="仿宋_GB2312" w:eastAsia="仿宋_GB2312" w:cs="仿宋_GB2312"/>
          <w:b w:val="0"/>
          <w:bCs/>
          <w:sz w:val="32"/>
          <w:szCs w:val="32"/>
          <w:lang w:val="en-US" w:eastAsia="zh-CN"/>
        </w:rPr>
        <w:t>28</w:t>
      </w:r>
      <w:r>
        <w:rPr>
          <w:rStyle w:val="7"/>
          <w:rFonts w:hint="eastAsia" w:ascii="仿宋_GB2312" w:hAnsi="仿宋_GB2312" w:eastAsia="仿宋_GB2312" w:cs="仿宋_GB2312"/>
          <w:b w:val="0"/>
          <w:bCs/>
          <w:sz w:val="32"/>
          <w:szCs w:val="32"/>
          <w:lang w:eastAsia="zh-CN"/>
        </w:rPr>
        <w:t>日</w:t>
      </w:r>
      <w:r>
        <w:rPr>
          <w:rStyle w:val="7"/>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top"/>
        <w:outlineLvl w:val="9"/>
        <w:rPr>
          <w:rFonts w:ascii="方正小标宋简体" w:hAnsi="宋体" w:eastAsia="方正小标宋简体" w:cs="宋体"/>
          <w:color w:val="000000"/>
          <w:kern w:val="0"/>
          <w:sz w:val="44"/>
          <w:szCs w:val="44"/>
        </w:rPr>
      </w:pPr>
      <w:r>
        <w:rPr>
          <w:rFonts w:ascii="方正小标宋简体" w:hAnsi="宋体" w:eastAsia="方正小标宋简体" w:cs="宋体"/>
          <w:color w:val="000000"/>
          <w:kern w:val="0"/>
          <w:sz w:val="44"/>
          <w:szCs w:val="44"/>
        </w:rPr>
        <w:t>201</w:t>
      </w:r>
      <w:r>
        <w:rPr>
          <w:rFonts w:hint="eastAsia" w:ascii="方正小标宋简体" w:hAnsi="宋体" w:eastAsia="方正小标宋简体" w:cs="宋体"/>
          <w:color w:val="000000"/>
          <w:kern w:val="0"/>
          <w:sz w:val="44"/>
          <w:szCs w:val="44"/>
          <w:lang w:val="en-US" w:eastAsia="zh-CN"/>
        </w:rPr>
        <w:t>9</w:t>
      </w:r>
      <w:r>
        <w:rPr>
          <w:rFonts w:hint="eastAsia" w:ascii="方正小标宋简体" w:hAnsi="宋体" w:eastAsia="方正小标宋简体" w:cs="宋体"/>
          <w:color w:val="000000"/>
          <w:kern w:val="0"/>
          <w:sz w:val="44"/>
          <w:szCs w:val="44"/>
        </w:rPr>
        <w:t>年福建省成人高等学校考试招生规定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根据教育部办公厅《关于做好201</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rPr>
        <w:t>年全国成人高校招生工作的通知》（教学厅〔201</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rPr>
        <w:t>〕</w:t>
      </w:r>
      <w:r>
        <w:rPr>
          <w:rStyle w:val="7"/>
          <w:rFonts w:hint="eastAsia" w:ascii="仿宋_GB2312" w:hAnsi="仿宋_GB2312" w:eastAsia="仿宋_GB2312" w:cs="仿宋_GB2312"/>
          <w:b w:val="0"/>
          <w:bCs/>
          <w:sz w:val="32"/>
          <w:szCs w:val="32"/>
          <w:lang w:val="en-US" w:eastAsia="zh-CN"/>
        </w:rPr>
        <w:t>11</w:t>
      </w:r>
      <w:r>
        <w:rPr>
          <w:rStyle w:val="7"/>
          <w:rFonts w:hint="eastAsia" w:ascii="仿宋_GB2312" w:hAnsi="仿宋_GB2312" w:eastAsia="仿宋_GB2312" w:cs="仿宋_GB2312"/>
          <w:b w:val="0"/>
          <w:bCs/>
          <w:sz w:val="32"/>
          <w:szCs w:val="32"/>
        </w:rPr>
        <w:t>号），结合我省实际情况，特制定本规定。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一、招生学校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经教育部和福建省教育厅批准下达成人高等学历教育招生计划的院校,并由福建省教育考试院统一向社会公布招生专业后，方可在我省招生。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实行全国统一招生的各有关高校应依照《中华人民共和国教育法》《中华人民共和国高等教育法》以及教育部和福建省有关招生政策规定，制订本学校招生章程，并向社会公布。招生章程必须如实反映本校的实际情况，内容应包括招生范围、学习形式、学制和年限、办学地点、录取原则、收费标准以及加试科目的时间、地点等。各有关高校应对招生章程的内容承担相应责任，并负责处理遗留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二、招生计划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成人高等学历教育招生计划分为专科起点升本科（以下简称专升本）、高中起点升本科（以下简称高起本）和高中起点升专科（以下简称高起专）3种。省教育厅</w:t>
      </w:r>
      <w:r>
        <w:rPr>
          <w:rStyle w:val="7"/>
          <w:rFonts w:hint="eastAsia" w:ascii="仿宋_GB2312" w:hAnsi="仿宋_GB2312" w:eastAsia="仿宋_GB2312" w:cs="仿宋_GB2312"/>
          <w:b w:val="0"/>
          <w:bCs/>
          <w:sz w:val="32"/>
          <w:szCs w:val="32"/>
          <w:lang w:eastAsia="zh-CN"/>
        </w:rPr>
        <w:t>审核</w:t>
      </w:r>
      <w:r>
        <w:rPr>
          <w:rStyle w:val="7"/>
          <w:rFonts w:hint="eastAsia" w:ascii="仿宋_GB2312" w:hAnsi="仿宋_GB2312" w:eastAsia="仿宋_GB2312" w:cs="仿宋_GB2312"/>
          <w:b w:val="0"/>
          <w:bCs/>
          <w:sz w:val="32"/>
          <w:szCs w:val="32"/>
        </w:rPr>
        <w:t>招生专业和招生计划，省教育考试院负责向社会公布招生学校和招生专业。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三、报名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（一）报名条件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符合下列条件的中国公民均可报名：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1.遵守中华人民共和国宪法和法律。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2.国家承认学历的各类高、中等学校在校生以外的从业人员和社会其他人员。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3.身体健康，生活能自理，不影响所报专业学习。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报考高起本或高起专的考生应具有高中毕业文化程度。报考专升本的考生必须是已取得经教育部审定核准的国民教育系列高等学校、高等教育自学考试机构颁发的专科毕业证书、本科结业证书或以上证书的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5.报考成人高校医学门类专业的考生还应具备以下条件：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报考临床医学、口腔医学、预防医学、中医学等临床类专业的人员，应取得省级卫生行政部门颁发的相应类别的执业助理医师及以上资格证书；或者县级及以上卫生行政部门颁发的乡村医生执业证书并具有中专学历或中专水平证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（2）报考护理学专业的人员应取得省级卫生行政部门颁发的执业护士证书。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（3）报考医学门类其他专业的人员应当是从事卫生、医药行业工作的在职专业技术人员。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（4）考生报考的专业原则上应与所从事的专业对口。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6.在中国定居并符合上述报名条件的外国侨民，持所在省（区、市）公安机关填发的《外国人永久居留证》或《外侨居留证》参加报名。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 xml:space="preserve">7.考生一般应在户口所在地报名并参加考试。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（二）报名时间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我省成人高校考试招生采取网上报名的方式，分为网上信息输入和现场信息确认两个阶段。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1.网上信息输入时间：9月1日9:00-</w:t>
      </w:r>
      <w:r>
        <w:rPr>
          <w:rStyle w:val="7"/>
          <w:rFonts w:hint="eastAsia" w:ascii="仿宋_GB2312" w:hAnsi="仿宋_GB2312" w:eastAsia="仿宋_GB2312" w:cs="仿宋_GB2312"/>
          <w:b w:val="0"/>
          <w:bCs/>
          <w:sz w:val="32"/>
          <w:szCs w:val="32"/>
          <w:lang w:val="en-US" w:eastAsia="zh-CN"/>
        </w:rPr>
        <w:t>-</w:t>
      </w:r>
      <w:r>
        <w:rPr>
          <w:rStyle w:val="7"/>
          <w:rFonts w:hint="eastAsia" w:ascii="仿宋_GB2312" w:hAnsi="仿宋_GB2312" w:eastAsia="仿宋_GB2312" w:cs="仿宋_GB2312"/>
          <w:b w:val="0"/>
          <w:bCs/>
          <w:sz w:val="32"/>
          <w:szCs w:val="32"/>
        </w:rPr>
        <w:t>9月</w:t>
      </w:r>
      <w:r>
        <w:rPr>
          <w:rStyle w:val="7"/>
          <w:rFonts w:hint="eastAsia" w:ascii="仿宋_GB2312" w:hAnsi="仿宋_GB2312" w:eastAsia="仿宋_GB2312" w:cs="仿宋_GB2312"/>
          <w:b w:val="0"/>
          <w:bCs/>
          <w:sz w:val="32"/>
          <w:szCs w:val="32"/>
          <w:lang w:val="en-US" w:eastAsia="zh-CN"/>
        </w:rPr>
        <w:t>5</w:t>
      </w:r>
      <w:r>
        <w:rPr>
          <w:rStyle w:val="7"/>
          <w:rFonts w:hint="eastAsia" w:ascii="仿宋_GB2312" w:hAnsi="仿宋_GB2312" w:eastAsia="仿宋_GB2312" w:cs="仿宋_GB2312"/>
          <w:b w:val="0"/>
          <w:bCs/>
          <w:sz w:val="32"/>
          <w:szCs w:val="32"/>
        </w:rPr>
        <w:t>日18:00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2.现场信息确认时间：9月</w:t>
      </w:r>
      <w:r>
        <w:rPr>
          <w:rStyle w:val="7"/>
          <w:rFonts w:hint="eastAsia" w:ascii="仿宋_GB2312" w:hAnsi="仿宋_GB2312" w:eastAsia="仿宋_GB2312" w:cs="仿宋_GB2312"/>
          <w:b w:val="0"/>
          <w:bCs/>
          <w:sz w:val="32"/>
          <w:szCs w:val="32"/>
          <w:lang w:val="en-US" w:eastAsia="zh-CN"/>
        </w:rPr>
        <w:t>3</w:t>
      </w:r>
      <w:r>
        <w:rPr>
          <w:rStyle w:val="7"/>
          <w:rFonts w:hint="eastAsia" w:ascii="仿宋_GB2312" w:hAnsi="仿宋_GB2312" w:eastAsia="仿宋_GB2312" w:cs="仿宋_GB2312"/>
          <w:b w:val="0"/>
          <w:bCs/>
          <w:sz w:val="32"/>
          <w:szCs w:val="32"/>
        </w:rPr>
        <w:t>日-</w:t>
      </w:r>
      <w:r>
        <w:rPr>
          <w:rStyle w:val="7"/>
          <w:rFonts w:hint="eastAsia" w:ascii="仿宋_GB2312" w:hAnsi="仿宋_GB2312" w:eastAsia="仿宋_GB2312" w:cs="仿宋_GB2312"/>
          <w:b w:val="0"/>
          <w:bCs/>
          <w:sz w:val="32"/>
          <w:szCs w:val="32"/>
          <w:lang w:val="en-US" w:eastAsia="zh-CN"/>
        </w:rPr>
        <w:t>-</w:t>
      </w:r>
      <w:r>
        <w:rPr>
          <w:rStyle w:val="7"/>
          <w:rFonts w:hint="eastAsia" w:ascii="仿宋_GB2312" w:hAnsi="仿宋_GB2312" w:eastAsia="仿宋_GB2312" w:cs="仿宋_GB2312"/>
          <w:b w:val="0"/>
          <w:bCs/>
          <w:sz w:val="32"/>
          <w:szCs w:val="32"/>
        </w:rPr>
        <w:t>9月</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(三)报名方式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考生登陆福建省教育考试院网站（http://www.eeafj</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.cn）-“数字服务大厅”-“成考成招”-“网上报名系统”，认真阅读《</w:t>
      </w:r>
      <w:r>
        <w:rPr>
          <w:rStyle w:val="7"/>
          <w:rFonts w:hint="eastAsia" w:ascii="仿宋_GB2312" w:hAnsi="仿宋_GB2312" w:eastAsia="仿宋_GB2312" w:cs="仿宋_GB2312"/>
          <w:b w:val="0"/>
          <w:bCs/>
          <w:sz w:val="32"/>
          <w:szCs w:val="32"/>
          <w:lang w:eastAsia="zh-CN"/>
        </w:rPr>
        <w:t>2019</w:t>
      </w:r>
      <w:r>
        <w:rPr>
          <w:rStyle w:val="7"/>
          <w:rFonts w:hint="eastAsia" w:ascii="仿宋_GB2312" w:hAnsi="仿宋_GB2312" w:eastAsia="仿宋_GB2312" w:cs="仿宋_GB2312"/>
          <w:b w:val="0"/>
          <w:bCs/>
          <w:sz w:val="32"/>
          <w:szCs w:val="32"/>
        </w:rPr>
        <w:t>年福建省成人高等学校考试招生规定》、院校招生专业目录和有关说明。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bCs w:val="0"/>
          <w:sz w:val="32"/>
          <w:szCs w:val="32"/>
        </w:rPr>
      </w:pPr>
      <w:r>
        <w:rPr>
          <w:rStyle w:val="7"/>
          <w:rFonts w:hint="eastAsia" w:ascii="仿宋_GB2312" w:hAnsi="仿宋_GB2312" w:eastAsia="仿宋_GB2312" w:cs="仿宋_GB2312"/>
          <w:b/>
          <w:bCs w:val="0"/>
          <w:sz w:val="32"/>
          <w:szCs w:val="32"/>
        </w:rPr>
        <w:t>1.网上信息输入（含专业志愿）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（1）按照网页的提示和要求，考生签订网上报名协议、《考试诚信承诺书》，准确输入个人基本信息（姓名、二代身份证号码、手机号、通讯地址等）和报考院校及专业志愿信息。每位考生只能报名1次。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（2）考生一般应选择户口（或工作单位）所在地作为报名信息确认点和考试地点。所有参加全国统考、单考和免试入学的考生均需办理报名手续。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（3）考生核对自己输入信息无误后确认提交，并在现场确认前</w:t>
      </w:r>
      <w:r>
        <w:rPr>
          <w:rStyle w:val="7"/>
          <w:rFonts w:hint="eastAsia" w:ascii="仿宋_GB2312" w:hAnsi="仿宋_GB2312" w:eastAsia="仿宋_GB2312" w:cs="仿宋_GB2312"/>
          <w:b w:val="0"/>
          <w:bCs/>
          <w:sz w:val="32"/>
          <w:szCs w:val="32"/>
          <w:lang w:eastAsia="zh-CN"/>
        </w:rPr>
        <w:t>完成</w:t>
      </w:r>
      <w:r>
        <w:rPr>
          <w:rStyle w:val="7"/>
          <w:rFonts w:hint="eastAsia" w:ascii="仿宋_GB2312" w:hAnsi="仿宋_GB2312" w:eastAsia="仿宋_GB2312" w:cs="仿宋_GB2312"/>
          <w:b w:val="0"/>
          <w:bCs/>
          <w:sz w:val="32"/>
          <w:szCs w:val="32"/>
        </w:rPr>
        <w:t>网上缴费。专升本考生，系统将通过学信网进行网上学历验证。请记下系统给出的网上报名号ID，并牢记自己本人设定的账号、密码（此账号密码还将适用于考生成绩查询、第二次专业志愿确认、录取信息查询和填报征求志愿等，须妥为保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2.志愿填报注意事项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（1）专升本、高起本和高起专的考生可分别填报</w:t>
      </w: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rPr>
        <w:t>个院校，每个院校填报</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个专业志愿。其中报考高起本的考生，也可兼报相同科类的高起专院校专业。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招生计划备注栏内的招生范围注明限招“系统职工”、“委培单位人员”的属限招条件；“面向××地区招生”是指面向在该地区生活和工作的人员，户口不限制；没有注明的即面向全省招生。院校学习形式为业余的主要是面向本地区招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（3）在现场信息确认前，考生如需修改志愿信息，可凭自己的账号及密码上网修改。但经考生本人现场确认后的报考志愿信息，不得更改。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bCs w:val="0"/>
          <w:sz w:val="32"/>
          <w:szCs w:val="32"/>
        </w:rPr>
      </w:pPr>
      <w:r>
        <w:rPr>
          <w:rStyle w:val="7"/>
          <w:rFonts w:hint="eastAsia" w:ascii="仿宋_GB2312" w:hAnsi="仿宋_GB2312" w:eastAsia="仿宋_GB2312" w:cs="仿宋_GB2312"/>
          <w:b/>
          <w:bCs w:val="0"/>
          <w:sz w:val="32"/>
          <w:szCs w:val="32"/>
        </w:rPr>
        <w:t>3.现场信息确认（含第一次专业志愿确认）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现场信息确认手续必须由考生本人办理。考生按选定的时间，到已选择的信息确认点，凭本人的网上预报名个人信息单进行报名信息核对确认，办理现场信息确认手续。凡未在规定时间内进行现场信息确认的，视为本人自动放弃本次考试报名，报考费不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（2）交验有关证件、证明及复印件。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（3）采集个人照片信息。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（4）核对网上报名信息确认表，核对无误并签字后交现场确认点存档。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bCs w:val="0"/>
          <w:sz w:val="32"/>
          <w:szCs w:val="32"/>
        </w:rPr>
      </w:pPr>
      <w:r>
        <w:rPr>
          <w:rStyle w:val="7"/>
          <w:rFonts w:hint="eastAsia" w:ascii="仿宋_GB2312" w:hAnsi="仿宋_GB2312" w:eastAsia="仿宋_GB2312" w:cs="仿宋_GB2312"/>
          <w:b/>
          <w:bCs w:val="0"/>
          <w:sz w:val="32"/>
          <w:szCs w:val="32"/>
        </w:rPr>
        <w:t>4.现场信息确认有关要求及交验材料（逾期无效）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（1）考生须携带本人二代居民身份证。无二代居民身份证者不能报考。外省籍户口的考生还须持工作单位证明。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报考专升本的考生，须持经教育部审定核准的国民教育系列高等学校或高等教育自学考试机构颁发的大学专科及以上毕业证书、本科结业证书原件和复印件；应届成人高校专科毕业生须持所在院校学籍管理部门加盖公章的《福建省成人高等学校应届专科毕业生网上报名资格审核表》。网上报名时，学历信息网上验证未通过的考生应于10月1</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日前向确认点所在市、县（区）教育招生考试机构提交教育部学信网出具的学历认证报告，逾期未提交的考生视为本人自动放弃本次考试报名，报考费不退。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符合录取照顾政策免试和录取加分投档的考生，须交验原始证件和复印件；申请免试入学的优秀运动员还须交验本人申请书和省体育行政管理部门出具的《优秀运动员免试进入成人高等学校推荐表》；申请加分投档的运动健将和武术项目武英级运动员、一级运动员称号获得者，还须出具省级体育行政管理部门的运动成绩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（4）自主就业的退役士兵须交验退役证原件及复印件。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（5）普通高职（专科）毕业生服义务兵役退役和“下基层”服务期满后免试接受成人本科教育的考生，须交验毕业证书和义务兵役退役证书；“下基层”服务期满证书和单位证明的原件及复印件。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lang w:eastAsia="zh-CN"/>
        </w:rPr>
        <w:t>（</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现场确认工作结束后，设区市教育招生考试机构应下载《</w:t>
      </w:r>
      <w:r>
        <w:rPr>
          <w:rStyle w:val="7"/>
          <w:rFonts w:hint="eastAsia" w:ascii="仿宋_GB2312" w:hAnsi="仿宋_GB2312" w:eastAsia="仿宋_GB2312" w:cs="仿宋_GB2312"/>
          <w:b w:val="0"/>
          <w:bCs/>
          <w:sz w:val="32"/>
          <w:szCs w:val="32"/>
          <w:lang w:eastAsia="zh-CN"/>
        </w:rPr>
        <w:t>2019</w:t>
      </w:r>
      <w:r>
        <w:rPr>
          <w:rStyle w:val="7"/>
          <w:rFonts w:hint="eastAsia" w:ascii="仿宋_GB2312" w:hAnsi="仿宋_GB2312" w:eastAsia="仿宋_GB2312" w:cs="仿宋_GB2312"/>
          <w:b w:val="0"/>
          <w:bCs/>
          <w:sz w:val="32"/>
          <w:szCs w:val="32"/>
        </w:rPr>
        <w:t>年福建省成人高校考试招生符合照顾政策的考生花名册》并审核，将符合申请免试入学的考生名册及有关证件的复印件加盖公章后报送省教育考试院复核。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bCs w:val="0"/>
          <w:sz w:val="32"/>
          <w:szCs w:val="32"/>
          <w:lang w:val="en-US" w:eastAsia="zh-CN"/>
        </w:rPr>
        <w:t>5</w:t>
      </w:r>
      <w:r>
        <w:rPr>
          <w:rStyle w:val="7"/>
          <w:rFonts w:hint="eastAsia" w:ascii="仿宋_GB2312" w:hAnsi="仿宋_GB2312" w:eastAsia="仿宋_GB2312" w:cs="仿宋_GB2312"/>
          <w:b/>
          <w:bCs w:val="0"/>
          <w:sz w:val="32"/>
          <w:szCs w:val="32"/>
        </w:rPr>
        <w:t>.第二次专业志愿网上确认。</w:t>
      </w:r>
      <w:r>
        <w:rPr>
          <w:rStyle w:val="7"/>
          <w:rFonts w:hint="eastAsia" w:ascii="仿宋_GB2312" w:hAnsi="仿宋_GB2312" w:eastAsia="仿宋_GB2312" w:cs="仿宋_GB2312"/>
          <w:b w:val="0"/>
          <w:bCs/>
          <w:sz w:val="32"/>
          <w:szCs w:val="32"/>
        </w:rPr>
        <w:t>时间：11月2</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日9:00-11月</w:t>
      </w:r>
      <w:r>
        <w:rPr>
          <w:rStyle w:val="7"/>
          <w:rFonts w:hint="eastAsia" w:ascii="仿宋_GB2312" w:hAnsi="仿宋_GB2312" w:eastAsia="仿宋_GB2312" w:cs="仿宋_GB2312"/>
          <w:b w:val="0"/>
          <w:bCs/>
          <w:sz w:val="32"/>
          <w:szCs w:val="32"/>
          <w:lang w:val="en-US" w:eastAsia="zh-CN"/>
        </w:rPr>
        <w:t>29</w:t>
      </w:r>
      <w:r>
        <w:rPr>
          <w:rStyle w:val="7"/>
          <w:rFonts w:hint="eastAsia" w:ascii="仿宋_GB2312" w:hAnsi="仿宋_GB2312" w:eastAsia="仿宋_GB2312" w:cs="仿宋_GB2312"/>
          <w:b w:val="0"/>
          <w:bCs/>
          <w:sz w:val="32"/>
          <w:szCs w:val="32"/>
        </w:rPr>
        <w:t>日18:00。各成人高校根据考生报名情况编制专业招生计划，部分专业可能因报考人数原因，未下达招生计划，报名时选择该专业的考生，相应志愿将失效。请考生在规定时间登陆报名网站，认真查看公布的院校招生计划数，凭个人账号密码对报名时填报的专业志愿信息进行第二次确认，考生可对报名时填报的专业志愿进行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（四）报名信息采集标准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报名信息采集工作按照教育部有关规定和《各类成人高等学校招生工作管理信息标准》执行。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（五）报名考务费用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按省物价局、省财政厅闽价函〔</w:t>
      </w:r>
      <w:r>
        <w:rPr>
          <w:rStyle w:val="7"/>
          <w:rFonts w:hint="eastAsia" w:ascii="仿宋_GB2312" w:hAnsi="仿宋_GB2312" w:eastAsia="仿宋_GB2312" w:cs="仿宋_GB2312"/>
          <w:b w:val="0"/>
          <w:bCs/>
          <w:sz w:val="32"/>
          <w:szCs w:val="32"/>
          <w:lang w:eastAsia="zh-CN"/>
        </w:rPr>
        <w:t>201</w:t>
      </w:r>
      <w:r>
        <w:rPr>
          <w:rStyle w:val="7"/>
          <w:rFonts w:hint="eastAsia" w:ascii="仿宋_GB2312" w:hAnsi="仿宋_GB2312" w:eastAsia="仿宋_GB2312" w:cs="仿宋_GB2312"/>
          <w:b w:val="0"/>
          <w:bCs/>
          <w:sz w:val="32"/>
          <w:szCs w:val="32"/>
          <w:lang w:val="en-US" w:eastAsia="zh-CN"/>
        </w:rPr>
        <w:t>8</w:t>
      </w:r>
      <w:r>
        <w:rPr>
          <w:rStyle w:val="7"/>
          <w:rFonts w:hint="eastAsia" w:ascii="仿宋_GB2312" w:hAnsi="仿宋_GB2312" w:eastAsia="仿宋_GB2312" w:cs="仿宋_GB2312"/>
          <w:b w:val="0"/>
          <w:bCs/>
          <w:sz w:val="32"/>
          <w:szCs w:val="32"/>
        </w:rPr>
        <w:t>〕364号文件核定的收费标准，考生应交纳报名考务费每生160元。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（六）报名组织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现场信息确认工作由市、县（区）教育招生考试机构负责组织实施。各市、县（区）教育招生考试机构应根据实际情况，合理设置本地区的现场信息确认点，向社会公布，并报省教育考试院备案。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四、考试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（一）考试日期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全国成人高等学校招生统一考试日期为10月2</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日-2</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日，具体时间安排见附件2。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（二）考试科目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高起本、高起专考试按文科、理科分别设置统考科目。公共课统考科目均为语文、数学、英语等3门，其中数学分文科类、理科类两种。报考高起本的考生，除参加3门统考公共课的考试外，还须参加专业基础课的考试，理科类专业基础课为“物理、化学综合”（简称理化），文科类专业基础课为“历史、地理综合”（简称史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2.专升本考试统考科目为政治、英语和一门专业基础课。考试科目对照表见附件</w:t>
      </w:r>
      <w:r>
        <w:rPr>
          <w:rStyle w:val="7"/>
          <w:rFonts w:hint="eastAsia" w:ascii="仿宋_GB2312" w:hAnsi="仿宋_GB2312" w:eastAsia="仿宋_GB2312" w:cs="仿宋_GB2312"/>
          <w:b w:val="0"/>
          <w:bCs/>
          <w:sz w:val="32"/>
          <w:szCs w:val="32"/>
          <w:lang w:val="en-US" w:eastAsia="zh-CN"/>
        </w:rPr>
        <w:t>3</w:t>
      </w:r>
      <w:r>
        <w:rPr>
          <w:rStyle w:val="7"/>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（三）考试内容及时长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统考科目由教育部依据2011年版《全国各类成人高等学校招生复习考试大纲》的要求进行命题。所有统考科目每科试题满分均为150分；高起本、高起专的统考科目每科考试时长为120分钟，专升本每科考试时长为150分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（四）试卷形式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我省高起本、高起专以及专升本的统考科目全部实行网上阅卷评分，采用答题卡作答方式。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（五）专业加试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报考高中起点艺术、体育类专业的考生须参加招生学校组织的专业考试。相关成人高校必须组织专业加试，不得以任何理由推托。报考专升本艺术、体育类专业的考生是否加试专业课，由招生学校自行确定。其它专业是否加试由各有关高校自行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2.加试科目：美术专业《素描》、《色彩》；音乐专业：《声乐》、《器乐》；体育专业：《100米跑》、《铅球》、《立定跳远》。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3.考生持艺术（体育）专业准考证和二代居民身份证在学校规定时间内参加所报考第一志愿学校的专业加试。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4.成人高校进行专业加试必须在省教育考试院向社会公布的招生生源计划中注明，并自行命题和组织考试。考生的专业加试成绩及确定的加试合格考生名单必须在11月5日前报送省教育考试院备案。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5.加试科目成绩不计入总分，但录取时院校必须确定合格标准。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（六）考试组织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成人高考工作在省招委会、省教育厅领导下，由省教育考试院组织实施，各设区市具体组织实施和管理本地区的考试工作。考区设在设区市人民政府所在地，考点全部安排在国家教育考试标准化考点。考生准考证号由省教育考试院组织全省统一随机编排生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10月1</w:t>
      </w:r>
      <w:r>
        <w:rPr>
          <w:rStyle w:val="7"/>
          <w:rFonts w:hint="eastAsia" w:ascii="仿宋_GB2312" w:hAnsi="仿宋_GB2312" w:eastAsia="仿宋_GB2312" w:cs="仿宋_GB2312"/>
          <w:b w:val="0"/>
          <w:bCs/>
          <w:sz w:val="32"/>
          <w:szCs w:val="32"/>
          <w:lang w:val="en-US" w:eastAsia="zh-CN"/>
        </w:rPr>
        <w:t>8</w:t>
      </w:r>
      <w:r>
        <w:rPr>
          <w:rStyle w:val="7"/>
          <w:rFonts w:hint="eastAsia" w:ascii="仿宋_GB2312" w:hAnsi="仿宋_GB2312" w:eastAsia="仿宋_GB2312" w:cs="仿宋_GB2312"/>
          <w:b w:val="0"/>
          <w:bCs/>
          <w:sz w:val="32"/>
          <w:szCs w:val="32"/>
        </w:rPr>
        <w:t>日9:00-10月2</w:t>
      </w:r>
      <w:r>
        <w:rPr>
          <w:rStyle w:val="7"/>
          <w:rFonts w:hint="eastAsia" w:ascii="仿宋_GB2312" w:hAnsi="仿宋_GB2312" w:eastAsia="仿宋_GB2312" w:cs="仿宋_GB2312"/>
          <w:b w:val="0"/>
          <w:bCs/>
          <w:sz w:val="32"/>
          <w:szCs w:val="32"/>
          <w:lang w:val="en-US" w:eastAsia="zh-CN"/>
        </w:rPr>
        <w:t>5</w:t>
      </w:r>
      <w:r>
        <w:rPr>
          <w:rStyle w:val="7"/>
          <w:rFonts w:hint="eastAsia" w:ascii="仿宋_GB2312" w:hAnsi="仿宋_GB2312" w:eastAsia="仿宋_GB2312" w:cs="仿宋_GB2312"/>
          <w:b w:val="0"/>
          <w:bCs/>
          <w:sz w:val="32"/>
          <w:szCs w:val="32"/>
        </w:rPr>
        <w:t>日，考生须登录报名网站打印准考证。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成人高校招生考试属国家教育考试，试卷、参考答案和评分参考（包括备用卷、答题卡等）在启用之前属国家绝密材料，应加强安全保密设施建设，完善安全保密规章制度和岗位责任制，认真做好试卷运送、保管、分发、施考的安全保密工作，确保考试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考试期间，考生须携带准考证和二代居民身份证入场，考生应遵守《考场规则》和其它有关规定，对违纪作弊者依据《国家教育考试违规处理办法》（教育部令第33号）进行处理。对存在组织作弊、提供作弊器材、出售考题及答案、替考等涉嫌犯罪的严重作弊或扰乱考试秩序的行为，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各级教育招生考试机构要切实加强对考生遵纪守法和诚信考试的宣传教育，加强对考试工作的组织领导。要坚持做好考试工作人员警示教育和岗前培训，持证上岗，未经培训不得从事监考工作和其它与考试相关的工作；要严格执行选聘和回避制度，严防徇私舞弊和违规违纪现象的发生。任何高校、机构和个人不得组织考生跨省参加成人高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（七）阅卷及成绩查询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我省成人高校招生全国统一考试全部实行网上阅卷。阅卷工作由省招委会、省教育厅组织统一进行，实行评卷院校负责制的管理体制。考生成绩由本人凭账号密码登陆报名网站查询，不公布，不对考生查卷。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五、录取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（一）录取形式、时间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我省成人高校招生工作全部实行计算机网上录取。录取工作分常规志愿录取和征求志愿录取两个阶段。招生录取工作从12月</w:t>
      </w:r>
      <w:r>
        <w:rPr>
          <w:rStyle w:val="7"/>
          <w:rFonts w:hint="eastAsia" w:ascii="仿宋_GB2312" w:hAnsi="仿宋_GB2312" w:eastAsia="仿宋_GB2312" w:cs="仿宋_GB2312"/>
          <w:b w:val="0"/>
          <w:bCs/>
          <w:sz w:val="32"/>
          <w:szCs w:val="32"/>
          <w:lang w:val="en-US" w:eastAsia="zh-CN"/>
        </w:rPr>
        <w:t>2</w:t>
      </w:r>
      <w:bookmarkStart w:id="3" w:name="_GoBack"/>
      <w:bookmarkEnd w:id="3"/>
      <w:r>
        <w:rPr>
          <w:rStyle w:val="7"/>
          <w:rFonts w:hint="eastAsia" w:ascii="仿宋_GB2312" w:hAnsi="仿宋_GB2312" w:eastAsia="仿宋_GB2312" w:cs="仿宋_GB2312"/>
          <w:b w:val="0"/>
          <w:bCs/>
          <w:sz w:val="32"/>
          <w:szCs w:val="32"/>
        </w:rPr>
        <w:t>日正式开始，12月</w:t>
      </w:r>
      <w:r>
        <w:rPr>
          <w:rStyle w:val="7"/>
          <w:rFonts w:hint="eastAsia" w:ascii="仿宋_GB2312" w:hAnsi="仿宋_GB2312" w:eastAsia="仿宋_GB2312" w:cs="仿宋_GB2312"/>
          <w:b w:val="0"/>
          <w:bCs/>
          <w:sz w:val="32"/>
          <w:szCs w:val="32"/>
          <w:lang w:val="en-US" w:eastAsia="zh-CN"/>
        </w:rPr>
        <w:t>15</w:t>
      </w:r>
      <w:r>
        <w:rPr>
          <w:rStyle w:val="7"/>
          <w:rFonts w:hint="eastAsia" w:ascii="仿宋_GB2312" w:hAnsi="仿宋_GB2312" w:eastAsia="仿宋_GB2312" w:cs="仿宋_GB2312"/>
          <w:b w:val="0"/>
          <w:bCs/>
          <w:sz w:val="32"/>
          <w:szCs w:val="32"/>
        </w:rPr>
        <w:t>日结束，具体时间安排如下：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1.12月</w:t>
      </w: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rPr>
        <w:t>日至</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日为专升本院校录取；12月</w:t>
      </w: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rPr>
        <w:t>日为高起本院校录取；12月</w:t>
      </w:r>
      <w:r>
        <w:rPr>
          <w:rStyle w:val="7"/>
          <w:rFonts w:hint="eastAsia" w:ascii="仿宋_GB2312" w:hAnsi="仿宋_GB2312" w:eastAsia="仿宋_GB2312" w:cs="仿宋_GB2312"/>
          <w:b w:val="0"/>
          <w:bCs/>
          <w:sz w:val="32"/>
          <w:szCs w:val="32"/>
          <w:lang w:val="en-US" w:eastAsia="zh-CN"/>
        </w:rPr>
        <w:t>3</w:t>
      </w:r>
      <w:r>
        <w:rPr>
          <w:rStyle w:val="7"/>
          <w:rFonts w:hint="eastAsia" w:ascii="仿宋_GB2312" w:hAnsi="仿宋_GB2312" w:eastAsia="仿宋_GB2312" w:cs="仿宋_GB2312"/>
          <w:b w:val="0"/>
          <w:bCs/>
          <w:sz w:val="32"/>
          <w:szCs w:val="32"/>
        </w:rPr>
        <w:t>日至</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日为高起专院校录取。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2.12月</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日9:00至</w:t>
      </w:r>
      <w:r>
        <w:rPr>
          <w:rStyle w:val="7"/>
          <w:rFonts w:hint="eastAsia" w:ascii="仿宋_GB2312" w:hAnsi="仿宋_GB2312" w:eastAsia="仿宋_GB2312" w:cs="仿宋_GB2312"/>
          <w:b w:val="0"/>
          <w:bCs/>
          <w:sz w:val="32"/>
          <w:szCs w:val="32"/>
          <w:lang w:val="en-US" w:eastAsia="zh-CN"/>
        </w:rPr>
        <w:t>8</w:t>
      </w:r>
      <w:r>
        <w:rPr>
          <w:rStyle w:val="7"/>
          <w:rFonts w:hint="eastAsia" w:ascii="仿宋_GB2312" w:hAnsi="仿宋_GB2312" w:eastAsia="仿宋_GB2312" w:cs="仿宋_GB2312"/>
          <w:b w:val="0"/>
          <w:bCs/>
          <w:sz w:val="32"/>
          <w:szCs w:val="32"/>
        </w:rPr>
        <w:t>日18:00为网上填报征求志愿时间，凡未录取的考生可登陆福建省教育考试院网站（http://www.eeafj.cn）-“数字服务大厅”-“成考成招”-“网上报名系统”，填报征求志愿。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3.12月</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rPr>
        <w:t>日至</w:t>
      </w:r>
      <w:r>
        <w:rPr>
          <w:rStyle w:val="7"/>
          <w:rFonts w:hint="eastAsia" w:ascii="仿宋_GB2312" w:hAnsi="仿宋_GB2312" w:eastAsia="仿宋_GB2312" w:cs="仿宋_GB2312"/>
          <w:b w:val="0"/>
          <w:bCs/>
          <w:sz w:val="32"/>
          <w:szCs w:val="32"/>
          <w:lang w:val="en-US" w:eastAsia="zh-CN"/>
        </w:rPr>
        <w:t>15</w:t>
      </w:r>
      <w:r>
        <w:rPr>
          <w:rStyle w:val="7"/>
          <w:rFonts w:hint="eastAsia" w:ascii="仿宋_GB2312" w:hAnsi="仿宋_GB2312" w:eastAsia="仿宋_GB2312" w:cs="仿宋_GB2312"/>
          <w:b w:val="0"/>
          <w:bCs/>
          <w:sz w:val="32"/>
          <w:szCs w:val="32"/>
        </w:rPr>
        <w:t>日为征求志愿录取。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（二）录取工作机制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工作实行“招生院校负责，省教育考试院监督”制度，即：在符合成人高校招生报名条件，考试成绩达到投档分数线的考生中，招生学校根据“从高分到低分择优录取”的原则，决定考生录取与否和录取的专业，同时负责对遗留问题的处理。省教育考试院在录取时，根据国家招生政策对录取名单进行审核，对不符合招生政策的情况予以纠正。各招生院校要充分发挥校内纪检、监察部门的作用，加强校内自我监督，建立健全自我约束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（三）录取控制分数线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控制分数线由省教育厅按分科类招生计划数划定。其中：高起本、高起专的艺术类专业（除史论、编导类专业外）和体育类专业的文考控制分数线不得低于相应招生类型和考试科类控制分数线的70%，艺术类、体育类高起本、高起专考生数学成绩不计入总分，由招生学校录取时作为参考；高起专的公安类成人高校的全部专业、医学（药学类除外）专业和中央司法警官学院的监狱管理专业、劳教管理专业，如上线生源不足可适当降低控制分数线，但不得低于相应考试科类控制分数线的70%。专升本和高起本的录取控制分数线须报教育部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（四）投档审录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录取时，省教育考试院根据考生志愿顺序将上线的考生电子档案材料向招生学校全部投档，学校</w:t>
      </w:r>
      <w:r>
        <w:rPr>
          <w:rStyle w:val="7"/>
          <w:rFonts w:hint="eastAsia" w:ascii="仿宋_GB2312" w:hAnsi="仿宋_GB2312" w:eastAsia="仿宋_GB2312" w:cs="仿宋_GB2312"/>
          <w:b w:val="0"/>
          <w:bCs/>
          <w:sz w:val="32"/>
          <w:szCs w:val="32"/>
          <w:lang w:eastAsia="zh-CN"/>
        </w:rPr>
        <w:t>按专业志愿择优录取</w:t>
      </w:r>
      <w:r>
        <w:rPr>
          <w:rStyle w:val="7"/>
          <w:rFonts w:hint="eastAsia" w:ascii="仿宋_GB2312" w:hAnsi="仿宋_GB2312" w:eastAsia="仿宋_GB2312" w:cs="仿宋_GB2312"/>
          <w:b w:val="0"/>
          <w:bCs/>
          <w:sz w:val="32"/>
          <w:szCs w:val="32"/>
        </w:rPr>
        <w:t>。如上线生源不足</w:t>
      </w:r>
      <w:r>
        <w:rPr>
          <w:rStyle w:val="7"/>
          <w:rFonts w:hint="eastAsia" w:ascii="仿宋_GB2312" w:hAnsi="仿宋_GB2312" w:eastAsia="仿宋_GB2312" w:cs="仿宋_GB2312"/>
          <w:b w:val="0"/>
          <w:bCs/>
          <w:sz w:val="32"/>
          <w:szCs w:val="32"/>
          <w:lang w:eastAsia="zh-CN"/>
        </w:rPr>
        <w:t>，招生学校</w:t>
      </w:r>
      <w:r>
        <w:rPr>
          <w:rStyle w:val="7"/>
          <w:rFonts w:hint="eastAsia" w:ascii="仿宋_GB2312" w:hAnsi="仿宋_GB2312" w:eastAsia="仿宋_GB2312" w:cs="仿宋_GB2312"/>
          <w:b w:val="0"/>
          <w:bCs/>
          <w:sz w:val="32"/>
          <w:szCs w:val="32"/>
        </w:rPr>
        <w:t>可</w:t>
      </w:r>
      <w:r>
        <w:rPr>
          <w:rStyle w:val="7"/>
          <w:rFonts w:hint="eastAsia" w:ascii="仿宋_GB2312" w:hAnsi="仿宋_GB2312" w:eastAsia="仿宋_GB2312" w:cs="仿宋_GB2312"/>
          <w:b w:val="0"/>
          <w:bCs/>
          <w:sz w:val="32"/>
          <w:szCs w:val="32"/>
          <w:lang w:eastAsia="zh-CN"/>
        </w:rPr>
        <w:t>提出降分申请，经批准，</w:t>
      </w:r>
      <w:r>
        <w:rPr>
          <w:rStyle w:val="7"/>
          <w:rFonts w:hint="eastAsia" w:ascii="仿宋_GB2312" w:hAnsi="仿宋_GB2312" w:eastAsia="仿宋_GB2312" w:cs="仿宋_GB2312"/>
          <w:b w:val="0"/>
          <w:bCs/>
          <w:sz w:val="32"/>
          <w:szCs w:val="32"/>
        </w:rPr>
        <w:t>适当降分投档，降分幅度最大不超过20分。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艺术类和体育类专业在考生文化课统考成绩达到录取控制分数线的基础上，按招生学校的加试专业课成绩从高分到低分择优录取。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录取新生名单由招生院校提出、省教育考试院审核。招生学校按审核后的录取名单，负责将录取通知书寄达考生本人。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六、录取照顾政策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（一）获得“全国劳动模范”、“全国先进工作者”称号、“全国‘五一’劳动奖章”获得者，经本人申请、省教育考试院审核、招生院校同意，可免试入学。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（二）符合下列条件之一的优秀运动员，经本人申请、省教育考试院审核、招生院校同意，可免试入学。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1.奥运会、世界杯赛和世界锦标赛的奥运会项目前八名获得者、非奥运会项目前六名获得者。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2.亚运会、亚洲杯赛和亚洲锦标赛的奥运会项目前六名获得者、非奥运会项目前三名获得者。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3.全运会、全国锦标赛和全国冠军赛的奥运会项目前三名获得者、非奥运会项目冠军获得者。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上述运动员报名时必须出具省级体育行政管理部门审核的《优秀运动员申请免试进入成人高等学校学习推荐表》（国家体育总局监制）。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三）参加“选聘高校毕业生到村任职”、“三支一扶”（支教、支农、支医和扶贫）、“大学生志愿服务西部计划”、“农村义务教育阶段学校教师特设岗位计划”等项目服务期满并考核合格，以及应征入伍服义务兵退役的普通高职（专科）毕业生，凭二代身份证、普通高职（专科）毕业证、士兵退役证或相关项目考核合格证，可申请免试就读我省成人高校专升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四）运动健将和武术项目武英级运动员称号获得者（须经省级体育行政部门审核并出具运动成绩证明），可在考生考试成绩基础上增加50分投档（一级运动员称号获得者，可增加30分投档），是否录取由招生学校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（五）符合下列条件之一的考生，可在考生考试成绩基础上增加20分投档，是否录取由招生学校确定：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1.获得地级以上（含地级）人民政府、国务院各部委及省（自治区、市）、厅、局系统，国家特大型企业授予的劳动模范、先进生产（工作）者及科技进步（成果）奖获得者。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2.获得省级工、青、妇等组织授予“五一劳动奖章”、“新长征突击手”、“三八红旗手”称号者。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3.解放军、武警部队、公安干警荣立个人三等功以上者。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4.归侨、归侨子女、华侨子女、台湾省籍考生。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5.烈士子女、烈士配偶。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6.宁德市、罗源县、连江县、福州市晋安区的北峰山区（日溪乡、宦溪镇）、漳浦县湖西乡、赤岭乡，龙海市隆教乡，永安市青水乡，上杭县官庄乡、庐丰乡，宁化县治平乡的畲族考生；晋江市陈埭镇、惠安县百崎乡的回族考生；华安县高山族聚居点的高山族考生；生活在高山（享受高山补贴）、海岛（无桥梁、海堤与大陆相连）的少数民族考生。国防科技工业三线企业单位（地处地市以上人民政府所在地的除外）获得企业表彰的先进生产（工作）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7.年满25岁以上人员（19</w:t>
      </w:r>
      <w:r>
        <w:rPr>
          <w:rStyle w:val="7"/>
          <w:rFonts w:hint="eastAsia" w:ascii="仿宋_GB2312" w:hAnsi="仿宋_GB2312" w:eastAsia="仿宋_GB2312" w:cs="仿宋_GB2312"/>
          <w:b w:val="0"/>
          <w:bCs/>
          <w:sz w:val="32"/>
          <w:szCs w:val="32"/>
          <w:lang w:val="en-US" w:eastAsia="zh-CN"/>
        </w:rPr>
        <w:t>94</w:t>
      </w:r>
      <w:r>
        <w:rPr>
          <w:rStyle w:val="7"/>
          <w:rFonts w:hint="eastAsia" w:ascii="仿宋_GB2312" w:hAnsi="仿宋_GB2312" w:eastAsia="仿宋_GB2312" w:cs="仿宋_GB2312"/>
          <w:b w:val="0"/>
          <w:bCs/>
          <w:sz w:val="32"/>
          <w:szCs w:val="32"/>
        </w:rPr>
        <w:t>年12月31日前出生）。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（六）自主就业的退役士兵，省教育考试院可以在考生考试成绩基础上增加10分投档，是否录取由招生学校确定。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符合上述照顾政策的考生必须于现场确认时交验相应的原始证件。符合上述两项以上照顾政策的考生，其照顾分不得累计。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七、信息公开公示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省教育考试院、有关高校应按照教育部要求，分别公开招生政策、高校招生资格、高校招生章程、高校招生计划、考生资格、录取程序、录取结果、咨询及申诉渠道、重大违规事件及处理结果、录取新生复查结果等相关信息。信息公开工作要做到信息采集准确、公开程序规范、内容发布及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八、新生复查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新生入学注册时间为</w:t>
      </w:r>
      <w:r>
        <w:rPr>
          <w:rStyle w:val="7"/>
          <w:rFonts w:hint="eastAsia" w:ascii="仿宋_GB2312" w:hAnsi="仿宋_GB2312" w:eastAsia="仿宋_GB2312" w:cs="仿宋_GB2312"/>
          <w:b w:val="0"/>
          <w:bCs/>
          <w:sz w:val="32"/>
          <w:szCs w:val="32"/>
          <w:lang w:val="en-US" w:eastAsia="zh-CN"/>
        </w:rPr>
        <w:t>2020</w:t>
      </w:r>
      <w:r>
        <w:rPr>
          <w:rStyle w:val="7"/>
          <w:rFonts w:hint="eastAsia" w:ascii="仿宋_GB2312" w:hAnsi="仿宋_GB2312" w:eastAsia="仿宋_GB2312" w:cs="仿宋_GB2312"/>
          <w:b w:val="0"/>
          <w:bCs/>
          <w:sz w:val="32"/>
          <w:szCs w:val="32"/>
        </w:rPr>
        <w:t>年春季。新生入学时，招生学校应对已报到新生进行复查，严格学籍注册管理。对其中不符合条件或弄虚作假、违纪舞弊者，应按照相关规定取消其入学资格；对不能通过学籍电子注册的专升本新生，必须进行第一学历复核，不能提供经教育部审定核准的国民教育系列高等学校、高等教育自学考试机构颁发的相应层次及以上毕业证书者，由招生学校取消其入学资格，并报省教育考试院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九、其它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对违反考试有关规定应予处罚的，依照《国家教育考试违规处理办法》（教育部令第33号）执行。对违反招生有关规定应予处罚的，参照《普通高等学校招生违规行为处理暂行办法》（教育部令第36号）执行。对存在组织作弊、提供作弊器材、出售考题及答案、替考等涉嫌犯罪的严重作弊或扰乱考试秩序的行为，要及时固定证据，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default"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附件：</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lang w:eastAsia="zh-CN"/>
        </w:rPr>
        <w:t>2019年全国成人高校招生统一考试时间表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0" w:firstLineChars="5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lang w:eastAsia="zh-CN"/>
        </w:rPr>
        <w:t>201</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lang w:eastAsia="zh-CN"/>
        </w:rPr>
        <w:t>年福建省成人高校考试招生报名及志愿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920" w:firstLineChars="6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填报时间安排表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1600" w:firstLineChars="5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专科起点升本科招生专业与统一考试科目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1920" w:firstLineChars="6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对照表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00" w:firstLineChars="200"/>
        <w:outlineLvl w:val="9"/>
        <w:rPr>
          <w:rFonts w:hint="eastAsia" w:ascii="方正小标宋简体" w:hAnsi="方正小标宋简体" w:eastAsia="方正小标宋简体" w:cs="方正小标宋简体"/>
          <w:bCs/>
          <w:color w:val="000000"/>
          <w:sz w:val="40"/>
          <w:szCs w:val="40"/>
          <w:lang w:val="en-US" w:eastAsia="zh-CN"/>
        </w:rPr>
      </w:pPr>
    </w:p>
    <w:p>
      <w:pPr>
        <w:spacing w:line="560" w:lineRule="exact"/>
        <w:rPr>
          <w:rFonts w:hint="default" w:ascii="Times New Roman" w:hAnsi="Times New Roman" w:eastAsia="黑体" w:cs="Times New Roman"/>
          <w:bCs/>
          <w:sz w:val="32"/>
          <w:szCs w:val="32"/>
        </w:rPr>
      </w:pPr>
    </w:p>
    <w:p>
      <w:pPr>
        <w:spacing w:line="560" w:lineRule="exact"/>
        <w:rPr>
          <w:rFonts w:hint="default"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1</w:t>
      </w:r>
    </w:p>
    <w:p>
      <w:pPr>
        <w:spacing w:before="156" w:beforeLines="50" w:after="156" w:afterLines="50" w:line="560" w:lineRule="exact"/>
        <w:jc w:val="center"/>
        <w:rPr>
          <w:rFonts w:ascii="方正小标宋简体" w:hAnsi="方正小标宋简体" w:eastAsia="方正小标宋简体" w:cs="方正小标宋简体"/>
          <w:bCs/>
          <w:color w:val="000000"/>
          <w:sz w:val="40"/>
          <w:szCs w:val="40"/>
        </w:rPr>
      </w:pPr>
      <w:r>
        <w:rPr>
          <w:rFonts w:hint="eastAsia" w:ascii="方正小标宋简体" w:hAnsi="方正小标宋简体" w:eastAsia="方正小标宋简体" w:cs="方正小标宋简体"/>
          <w:bCs/>
          <w:color w:val="000000"/>
          <w:sz w:val="40"/>
          <w:szCs w:val="40"/>
        </w:rPr>
        <w:t>2019年全国成人高校招生统一考试时间表</w:t>
      </w:r>
    </w:p>
    <w:p>
      <w:pPr>
        <w:pStyle w:val="2"/>
        <w:spacing w:line="560" w:lineRule="exact"/>
        <w:ind w:firstLine="1"/>
        <w:jc w:val="center"/>
        <w:rPr>
          <w:rFonts w:hint="default" w:ascii="楷体_GB2312" w:hAnsi="楷体_GB2312" w:eastAsia="楷体_GB2312" w:cs="楷体_GB2312"/>
          <w:b/>
          <w:bCs w:val="0"/>
          <w:color w:val="000000"/>
          <w:sz w:val="32"/>
          <w:szCs w:val="32"/>
        </w:rPr>
      </w:pPr>
      <w:r>
        <w:rPr>
          <w:rFonts w:ascii="楷体_GB2312" w:hAnsi="楷体_GB2312" w:eastAsia="楷体_GB2312" w:cs="楷体_GB2312"/>
          <w:b/>
          <w:bCs w:val="0"/>
          <w:color w:val="000000"/>
          <w:sz w:val="32"/>
          <w:szCs w:val="32"/>
        </w:rPr>
        <w:t>（一）高中起点升本、专科考试时间表</w:t>
      </w:r>
    </w:p>
    <w:tbl>
      <w:tblPr>
        <w:tblStyle w:val="10"/>
        <w:tblpPr w:leftFromText="180" w:rightFromText="180" w:vertAnchor="text" w:horzAnchor="margin" w:tblpXSpec="center" w:tblpY="200"/>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83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2694" w:type="dxa"/>
            <w:tcBorders>
              <w:tl2br w:val="single" w:color="auto" w:sz="4" w:space="0"/>
            </w:tcBorders>
          </w:tcPr>
          <w:p>
            <w:pPr>
              <w:pStyle w:val="2"/>
              <w:spacing w:line="500" w:lineRule="exact"/>
              <w:ind w:left="-5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 xml:space="preserve">          日期</w:t>
            </w:r>
          </w:p>
          <w:p>
            <w:pPr>
              <w:pStyle w:val="2"/>
              <w:spacing w:line="500" w:lineRule="exact"/>
              <w:ind w:left="-5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 xml:space="preserve"> 时间</w:t>
            </w:r>
          </w:p>
        </w:tc>
        <w:tc>
          <w:tcPr>
            <w:tcW w:w="2835" w:type="dxa"/>
            <w:vAlign w:val="center"/>
          </w:tcPr>
          <w:p>
            <w:pPr>
              <w:pStyle w:val="2"/>
              <w:spacing w:line="50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10月26日</w:t>
            </w:r>
          </w:p>
        </w:tc>
        <w:tc>
          <w:tcPr>
            <w:tcW w:w="3255" w:type="dxa"/>
            <w:vAlign w:val="center"/>
          </w:tcPr>
          <w:p>
            <w:pPr>
              <w:pStyle w:val="2"/>
              <w:spacing w:line="50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2694"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9:00—11:00</w:t>
            </w:r>
          </w:p>
        </w:tc>
        <w:tc>
          <w:tcPr>
            <w:tcW w:w="2835"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语文</w:t>
            </w:r>
          </w:p>
        </w:tc>
        <w:tc>
          <w:tcPr>
            <w:tcW w:w="3255" w:type="dxa"/>
            <w:tcBorders>
              <w:bottom w:val="single" w:color="auto" w:sz="4" w:space="0"/>
            </w:tcBorders>
            <w:vAlign w:val="center"/>
          </w:tcPr>
          <w:p>
            <w:pPr>
              <w:pStyle w:val="2"/>
              <w:spacing w:line="500" w:lineRule="exact"/>
              <w:ind w:left="37"/>
              <w:jc w:val="center"/>
              <w:rPr>
                <w:rFonts w:hint="eastAsia" w:ascii="Times New Roman" w:hAnsi="Times New Roman" w:eastAsia="方正仿宋简体" w:cs="Times New Roman"/>
                <w:color w:val="000000"/>
                <w:sz w:val="30"/>
                <w:szCs w:val="30"/>
                <w:lang w:eastAsia="zh-CN"/>
              </w:rPr>
            </w:pPr>
            <w:r>
              <w:rPr>
                <w:rFonts w:hint="eastAsia" w:ascii="Times New Roman" w:hAnsi="Times New Roman" w:eastAsia="方正仿宋简体" w:cs="Times New Roman"/>
                <w:color w:val="000000"/>
                <w:sz w:val="30"/>
                <w:szCs w:val="30"/>
                <w:lang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2694"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14:30—16:30</w:t>
            </w:r>
          </w:p>
        </w:tc>
        <w:tc>
          <w:tcPr>
            <w:tcW w:w="2835"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数学（文科）</w:t>
            </w:r>
          </w:p>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数学（理科）</w:t>
            </w:r>
          </w:p>
        </w:tc>
        <w:tc>
          <w:tcPr>
            <w:tcW w:w="3255" w:type="dxa"/>
            <w:tcBorders>
              <w:bottom w:val="single" w:color="auto" w:sz="4" w:space="0"/>
            </w:tcBorders>
            <w:vAlign w:val="center"/>
          </w:tcPr>
          <w:p>
            <w:pPr>
              <w:pStyle w:val="2"/>
              <w:spacing w:line="500" w:lineRule="exact"/>
              <w:ind w:left="4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史地（高起本文科）</w:t>
            </w:r>
          </w:p>
          <w:p>
            <w:pPr>
              <w:pStyle w:val="2"/>
              <w:spacing w:line="500" w:lineRule="exact"/>
              <w:ind w:left="4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理化（高起本理科）</w:t>
            </w:r>
          </w:p>
        </w:tc>
      </w:tr>
    </w:tbl>
    <w:p>
      <w:pPr>
        <w:pStyle w:val="2"/>
        <w:spacing w:before="156" w:beforeLines="50" w:after="156" w:afterLines="50" w:line="560" w:lineRule="exact"/>
        <w:jc w:val="center"/>
        <w:rPr>
          <w:rFonts w:hint="default" w:ascii="楷体_GB2312" w:hAnsi="楷体_GB2312" w:eastAsia="楷体_GB2312" w:cs="楷体_GB2312"/>
          <w:b/>
          <w:bCs w:val="0"/>
          <w:color w:val="000000"/>
          <w:sz w:val="32"/>
          <w:szCs w:val="32"/>
        </w:rPr>
      </w:pPr>
    </w:p>
    <w:p>
      <w:pPr>
        <w:pStyle w:val="2"/>
        <w:spacing w:before="156" w:beforeLines="50" w:after="156" w:afterLines="50" w:line="560" w:lineRule="exact"/>
        <w:jc w:val="center"/>
        <w:rPr>
          <w:rFonts w:hint="default" w:ascii="楷体_GB2312" w:hAnsi="楷体_GB2312" w:eastAsia="楷体_GB2312" w:cs="楷体_GB2312"/>
          <w:b/>
          <w:bCs w:val="0"/>
          <w:color w:val="000000"/>
          <w:sz w:val="32"/>
          <w:szCs w:val="32"/>
        </w:rPr>
      </w:pPr>
      <w:r>
        <w:rPr>
          <w:rFonts w:hint="default" w:ascii="楷体_GB2312" w:hAnsi="楷体_GB2312" w:eastAsia="楷体_GB2312" w:cs="楷体_GB2312"/>
          <w:b/>
          <w:bCs w:val="0"/>
          <w:color w:val="000000"/>
          <w:sz w:val="32"/>
          <w:szCs w:val="32"/>
        </w:rPr>
        <w:t>（二）专科起点升本科考试时间表</w:t>
      </w:r>
    </w:p>
    <w:tbl>
      <w:tblPr>
        <w:tblStyle w:val="10"/>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08"/>
        <w:gridCol w:w="241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2694" w:type="dxa"/>
            <w:tcBorders>
              <w:tl2br w:val="single" w:color="auto" w:sz="4" w:space="0"/>
            </w:tcBorders>
          </w:tcPr>
          <w:p>
            <w:pPr>
              <w:pStyle w:val="2"/>
              <w:spacing w:line="440" w:lineRule="exact"/>
              <w:ind w:left="-315"/>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 xml:space="preserve">          日期</w:t>
            </w:r>
          </w:p>
          <w:p>
            <w:pPr>
              <w:pStyle w:val="2"/>
              <w:spacing w:line="440" w:lineRule="exact"/>
              <w:ind w:left="1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时间</w:t>
            </w:r>
          </w:p>
        </w:tc>
        <w:tc>
          <w:tcPr>
            <w:tcW w:w="1908" w:type="dxa"/>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10月26日</w:t>
            </w:r>
          </w:p>
        </w:tc>
        <w:tc>
          <w:tcPr>
            <w:tcW w:w="4045" w:type="dxa"/>
            <w:gridSpan w:val="2"/>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jc w:val="center"/>
        </w:trPr>
        <w:tc>
          <w:tcPr>
            <w:tcW w:w="2694" w:type="dxa"/>
            <w:tcBorders>
              <w:bottom w:val="single" w:color="auto" w:sz="4" w:space="0"/>
            </w:tcBorders>
            <w:vAlign w:val="center"/>
          </w:tcPr>
          <w:p>
            <w:pPr>
              <w:pStyle w:val="2"/>
              <w:spacing w:line="440" w:lineRule="exact"/>
              <w:ind w:left="1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9:00—11:30</w:t>
            </w:r>
          </w:p>
        </w:tc>
        <w:tc>
          <w:tcPr>
            <w:tcW w:w="1908" w:type="dxa"/>
            <w:tcBorders>
              <w:bottom w:val="single" w:color="auto" w:sz="4" w:space="0"/>
            </w:tcBorders>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政治</w:t>
            </w:r>
          </w:p>
        </w:tc>
        <w:tc>
          <w:tcPr>
            <w:tcW w:w="2415" w:type="dxa"/>
            <w:tcBorders>
              <w:bottom w:val="single" w:color="auto" w:sz="4" w:space="0"/>
            </w:tcBorders>
            <w:vAlign w:val="center"/>
          </w:tcPr>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大学语文</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艺术概论</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高等数学(一)</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高等数学(二)</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民法</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教育理论</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生态学基础</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医学综合</w:t>
            </w:r>
          </w:p>
        </w:tc>
        <w:tc>
          <w:tcPr>
            <w:tcW w:w="1630" w:type="dxa"/>
            <w:tcBorders>
              <w:bottom w:val="single" w:color="auto" w:sz="4" w:space="0"/>
            </w:tcBorders>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694" w:type="dxa"/>
            <w:tcBorders>
              <w:bottom w:val="single" w:color="auto" w:sz="4" w:space="0"/>
            </w:tcBorders>
            <w:vAlign w:val="center"/>
          </w:tcPr>
          <w:p>
            <w:pPr>
              <w:pStyle w:val="2"/>
              <w:spacing w:line="440" w:lineRule="exact"/>
              <w:ind w:left="1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14:30—17:00</w:t>
            </w:r>
          </w:p>
        </w:tc>
        <w:tc>
          <w:tcPr>
            <w:tcW w:w="1908" w:type="dxa"/>
            <w:tcBorders>
              <w:bottom w:val="single" w:color="auto" w:sz="4" w:space="0"/>
            </w:tcBorders>
            <w:vAlign w:val="center"/>
          </w:tcPr>
          <w:p>
            <w:pPr>
              <w:pStyle w:val="2"/>
              <w:spacing w:line="440" w:lineRule="exact"/>
              <w:jc w:val="center"/>
              <w:rPr>
                <w:rFonts w:hint="eastAsia" w:ascii="Times New Roman" w:hAnsi="Times New Roman" w:eastAsia="方正仿宋简体" w:cs="Times New Roman"/>
                <w:color w:val="000000"/>
                <w:sz w:val="30"/>
                <w:szCs w:val="30"/>
                <w:lang w:eastAsia="zh-CN"/>
              </w:rPr>
            </w:pPr>
            <w:r>
              <w:rPr>
                <w:rFonts w:hint="eastAsia" w:ascii="Times New Roman" w:hAnsi="Times New Roman" w:eastAsia="方正仿宋简体" w:cs="Times New Roman"/>
                <w:color w:val="000000"/>
                <w:sz w:val="30"/>
                <w:szCs w:val="30"/>
                <w:lang w:eastAsia="zh-CN"/>
              </w:rPr>
              <w:t>英语</w:t>
            </w:r>
          </w:p>
        </w:tc>
        <w:tc>
          <w:tcPr>
            <w:tcW w:w="4045" w:type="dxa"/>
            <w:gridSpan w:val="2"/>
            <w:tcBorders>
              <w:bottom w:val="single" w:color="auto" w:sz="4" w:space="0"/>
            </w:tcBorders>
            <w:vAlign w:val="center"/>
          </w:tcPr>
          <w:p>
            <w:pPr>
              <w:pStyle w:val="2"/>
              <w:spacing w:line="440" w:lineRule="exact"/>
              <w:ind w:left="187"/>
              <w:rPr>
                <w:rFonts w:hint="default" w:ascii="Times New Roman" w:hAnsi="Times New Roman" w:eastAsia="方正仿宋简体" w:cs="Times New Roman"/>
                <w:color w:val="000000"/>
                <w:sz w:val="30"/>
                <w:szCs w:val="30"/>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Times New Roman" w:hAnsi="Times New Roman" w:eastAsia="方正仿宋简体" w:cs="Times New Roman"/>
          <w:color w:val="000000"/>
          <w:sz w:val="28"/>
          <w:szCs w:val="28"/>
          <w:shd w:val="clear" w:color="auto" w:fill="FFFFFF"/>
        </w:rPr>
      </w:pPr>
      <w:r>
        <w:rPr>
          <w:rFonts w:hint="eastAsia" w:ascii="黑体" w:hAnsi="黑体" w:eastAsia="黑体" w:cs="黑体"/>
          <w:bCs/>
          <w:color w:val="000000"/>
          <w:sz w:val="28"/>
          <w:szCs w:val="28"/>
          <w:shd w:val="clear" w:color="auto" w:fill="FFFFFF"/>
        </w:rPr>
        <w:t>说明：</w:t>
      </w: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lang w:val="en-US" w:eastAsia="zh-CN"/>
        </w:rPr>
        <w:t>.</w:t>
      </w:r>
      <w:r>
        <w:rPr>
          <w:rFonts w:ascii="Times New Roman" w:hAnsi="Times New Roman" w:eastAsia="方正仿宋简体" w:cs="Times New Roman"/>
          <w:sz w:val="28"/>
          <w:szCs w:val="28"/>
        </w:rPr>
        <w:t>2019年成人高考</w:t>
      </w:r>
      <w:r>
        <w:rPr>
          <w:rFonts w:ascii="Times New Roman" w:hAnsi="Times New Roman" w:eastAsia="方正仿宋简体" w:cs="Times New Roman"/>
          <w:color w:val="000000"/>
          <w:sz w:val="28"/>
          <w:szCs w:val="28"/>
          <w:shd w:val="clear" w:color="auto" w:fill="FFFFFF"/>
        </w:rPr>
        <w:t>依据</w:t>
      </w:r>
      <w:r>
        <w:rPr>
          <w:rFonts w:hint="eastAsia" w:ascii="Times New Roman" w:hAnsi="Times New Roman" w:eastAsia="方正仿宋简体" w:cs="Times New Roman"/>
          <w:color w:val="000000"/>
          <w:sz w:val="28"/>
          <w:szCs w:val="28"/>
          <w:shd w:val="clear" w:color="auto" w:fill="FFFFFF"/>
        </w:rPr>
        <w:t>教育部考试中心制订的考试大纲命题</w:t>
      </w:r>
      <w:r>
        <w:rPr>
          <w:rFonts w:ascii="Times New Roman" w:hAnsi="Times New Roman" w:eastAsia="方正仿宋简体" w:cs="Times New Roman"/>
          <w:color w:val="000000"/>
          <w:sz w:val="28"/>
          <w:szCs w:val="28"/>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840" w:firstLineChars="300"/>
        <w:jc w:val="both"/>
        <w:textAlignment w:val="auto"/>
        <w:outlineLvl w:val="9"/>
        <w:rPr>
          <w:rFonts w:ascii="Times New Roman" w:hAnsi="Times New Roman" w:eastAsia="方正仿宋简体" w:cs="Times New Roman"/>
          <w:color w:val="000000"/>
          <w:sz w:val="28"/>
          <w:szCs w:val="28"/>
          <w:shd w:val="clear" w:color="auto" w:fill="FFFFFF"/>
        </w:rPr>
      </w:pPr>
      <w:r>
        <w:rPr>
          <w:rFonts w:hint="eastAsia" w:ascii="Times New Roman" w:hAnsi="Times New Roman" w:eastAsia="方正仿宋简体" w:cs="Times New Roman"/>
          <w:color w:val="000000"/>
          <w:sz w:val="28"/>
          <w:szCs w:val="28"/>
          <w:shd w:val="clear" w:color="auto" w:fill="FFFFFF"/>
          <w:lang w:val="en-US" w:eastAsia="zh-CN"/>
        </w:rPr>
        <w:t>2.</w:t>
      </w:r>
      <w:r>
        <w:rPr>
          <w:rFonts w:ascii="Times New Roman" w:hAnsi="Times New Roman" w:eastAsia="方正仿宋简体" w:cs="Times New Roman"/>
          <w:color w:val="000000"/>
          <w:sz w:val="28"/>
          <w:szCs w:val="28"/>
          <w:shd w:val="clear" w:color="auto" w:fill="FFFFFF"/>
        </w:rPr>
        <w:t>专科起点升本科招生专业所对应的考试科目按《专科起点升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1120" w:firstLineChars="400"/>
        <w:jc w:val="both"/>
        <w:textAlignment w:val="auto"/>
        <w:outlineLvl w:val="9"/>
        <w:rPr>
          <w:rFonts w:ascii="Times New Roman" w:hAnsi="Times New Roman" w:eastAsia="方正仿宋简体" w:cs="Times New Roman"/>
          <w:color w:val="000000"/>
          <w:sz w:val="28"/>
          <w:szCs w:val="28"/>
          <w:shd w:val="clear" w:color="auto" w:fill="FFFFFF"/>
        </w:rPr>
      </w:pPr>
      <w:r>
        <w:rPr>
          <w:rFonts w:ascii="Times New Roman" w:hAnsi="Times New Roman" w:eastAsia="方正仿宋简体" w:cs="Times New Roman"/>
          <w:color w:val="000000"/>
          <w:sz w:val="28"/>
          <w:szCs w:val="28"/>
          <w:shd w:val="clear" w:color="auto" w:fill="FFFFFF"/>
        </w:rPr>
        <w:t>本科专业与统一考试科目对照表》（教学厅〔2017〕12号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1120" w:firstLineChars="400"/>
        <w:jc w:val="both"/>
        <w:textAlignment w:val="auto"/>
        <w:outlineLvl w:val="9"/>
        <w:rPr>
          <w:rFonts w:hint="eastAsia" w:ascii="Times New Roman" w:hAnsi="Times New Roman" w:eastAsia="方正仿宋简体" w:cs="Times New Roman"/>
          <w:color w:val="000000"/>
          <w:sz w:val="28"/>
          <w:szCs w:val="28"/>
          <w:shd w:val="clear" w:color="auto" w:fill="FFFFFF"/>
        </w:rPr>
      </w:pPr>
      <w:r>
        <w:rPr>
          <w:rFonts w:ascii="Times New Roman" w:hAnsi="Times New Roman" w:eastAsia="方正仿宋简体" w:cs="Times New Roman"/>
          <w:color w:val="000000"/>
          <w:sz w:val="28"/>
          <w:szCs w:val="28"/>
          <w:shd w:val="clear" w:color="auto" w:fill="FFFFFF"/>
        </w:rPr>
        <w:t>文附件4）执行</w:t>
      </w:r>
      <w:r>
        <w:rPr>
          <w:rFonts w:hint="eastAsia" w:ascii="Times New Roman" w:hAnsi="Times New Roman" w:eastAsia="方正仿宋简体" w:cs="Times New Roman"/>
          <w:color w:val="000000"/>
          <w:sz w:val="28"/>
          <w:szCs w:val="28"/>
          <w:shd w:val="clear" w:color="auto" w:fill="FFFFFF"/>
        </w:rPr>
        <w:t>。</w:t>
      </w:r>
    </w:p>
    <w:p>
      <w:pPr>
        <w:numPr>
          <w:ilvl w:val="0"/>
          <w:numId w:val="0"/>
        </w:numPr>
        <w:spacing w:line="500" w:lineRule="exact"/>
        <w:ind w:firstLine="1120" w:firstLineChars="400"/>
        <w:rPr>
          <w:rFonts w:hint="eastAsia" w:ascii="Times New Roman" w:hAnsi="Times New Roman" w:eastAsia="方正仿宋简体" w:cs="Times New Roman"/>
          <w:color w:val="000000"/>
          <w:sz w:val="28"/>
          <w:szCs w:val="28"/>
          <w:shd w:val="clear" w:color="auto" w:fill="FFFFFF"/>
        </w:rPr>
      </w:pPr>
    </w:p>
    <w:p>
      <w:pPr>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2</w:t>
      </w:r>
    </w:p>
    <w:p>
      <w:pPr>
        <w:spacing w:line="560" w:lineRule="exact"/>
        <w:rPr>
          <w:rFonts w:ascii="仿宋_GB2312" w:hAnsi="仿宋" w:cs="新宋体-18030"/>
          <w:bCs/>
          <w:sz w:val="32"/>
          <w:szCs w:val="32"/>
        </w:rPr>
      </w:pPr>
    </w:p>
    <w:p>
      <w:pPr>
        <w:spacing w:line="600" w:lineRule="exact"/>
        <w:jc w:val="center"/>
        <w:rPr>
          <w:rFonts w:ascii="方正小标宋简体" w:hAnsi="仿宋" w:eastAsia="方正小标宋简体"/>
          <w:sz w:val="44"/>
          <w:szCs w:val="44"/>
          <w:shd w:val="clear" w:color="auto" w:fill="FFFFFF"/>
        </w:rPr>
      </w:pPr>
      <w:r>
        <w:rPr>
          <w:rFonts w:ascii="方正小标宋简体" w:hAnsi="仿宋" w:eastAsia="方正小标宋简体"/>
          <w:sz w:val="44"/>
          <w:szCs w:val="44"/>
          <w:shd w:val="clear" w:color="auto" w:fill="FFFFFF"/>
        </w:rPr>
        <w:t>201</w:t>
      </w:r>
      <w:r>
        <w:rPr>
          <w:rFonts w:hint="eastAsia" w:ascii="方正小标宋简体" w:hAnsi="仿宋" w:eastAsia="方正小标宋简体"/>
          <w:sz w:val="44"/>
          <w:szCs w:val="44"/>
          <w:shd w:val="clear" w:color="auto" w:fill="FFFFFF"/>
          <w:lang w:val="en-US" w:eastAsia="zh-CN"/>
        </w:rPr>
        <w:t>9</w:t>
      </w:r>
      <w:r>
        <w:rPr>
          <w:rFonts w:hint="eastAsia" w:ascii="方正小标宋简体" w:hAnsi="仿宋" w:eastAsia="方正小标宋简体"/>
          <w:sz w:val="44"/>
          <w:szCs w:val="44"/>
          <w:shd w:val="clear" w:color="auto" w:fill="FFFFFF"/>
        </w:rPr>
        <w:t>年福建省成人高校考试招生报名及</w:t>
      </w:r>
    </w:p>
    <w:p>
      <w:pPr>
        <w:spacing w:line="600" w:lineRule="exact"/>
        <w:jc w:val="center"/>
        <w:rPr>
          <w:rFonts w:ascii="仿宋_GB2312" w:hAnsi="仿宋" w:cs="宋体"/>
          <w:kern w:val="0"/>
          <w:sz w:val="44"/>
          <w:szCs w:val="44"/>
        </w:rPr>
      </w:pPr>
      <w:r>
        <w:rPr>
          <w:rFonts w:hint="eastAsia" w:ascii="方正小标宋简体" w:hAnsi="仿宋" w:eastAsia="方正小标宋简体"/>
          <w:sz w:val="44"/>
          <w:szCs w:val="44"/>
          <w:shd w:val="clear" w:color="auto" w:fill="FFFFFF"/>
        </w:rPr>
        <w:t>志愿填报时间安排表</w:t>
      </w:r>
    </w:p>
    <w:p>
      <w:pPr>
        <w:widowControl/>
        <w:spacing w:line="500" w:lineRule="atLeast"/>
        <w:jc w:val="center"/>
        <w:rPr>
          <w:rFonts w:ascii="仿宋_GB2312" w:hAnsi="仿宋" w:cs="宋体"/>
          <w:kern w:val="0"/>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82"/>
        <w:gridCol w:w="3434"/>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jc w:val="center"/>
              <w:rPr>
                <w:rFonts w:hint="eastAsia" w:ascii="宋体" w:hAnsi="宋体" w:eastAsia="宋体" w:cs="宋体"/>
                <w:b/>
                <w:bCs/>
                <w:kern w:val="0"/>
                <w:sz w:val="30"/>
                <w:szCs w:val="30"/>
              </w:rPr>
            </w:pPr>
            <w:r>
              <w:rPr>
                <w:rFonts w:hint="eastAsia" w:ascii="宋体" w:hAnsi="宋体" w:eastAsia="宋体" w:cs="宋体"/>
                <w:b/>
                <w:bCs/>
                <w:sz w:val="30"/>
                <w:szCs w:val="30"/>
              </w:rPr>
              <w:t>序号</w:t>
            </w:r>
          </w:p>
        </w:tc>
        <w:tc>
          <w:tcPr>
            <w:tcW w:w="3434" w:type="dxa"/>
            <w:vAlign w:val="center"/>
          </w:tcPr>
          <w:p>
            <w:pPr>
              <w:widowControl/>
              <w:jc w:val="center"/>
              <w:rPr>
                <w:rFonts w:hint="eastAsia" w:ascii="宋体" w:hAnsi="宋体" w:eastAsia="宋体" w:cs="宋体"/>
                <w:b/>
                <w:bCs/>
                <w:kern w:val="0"/>
                <w:sz w:val="30"/>
                <w:szCs w:val="30"/>
              </w:rPr>
            </w:pPr>
            <w:r>
              <w:rPr>
                <w:rFonts w:hint="eastAsia" w:ascii="宋体" w:hAnsi="宋体" w:eastAsia="宋体" w:cs="宋体"/>
                <w:b/>
                <w:bCs/>
                <w:sz w:val="30"/>
                <w:szCs w:val="30"/>
              </w:rPr>
              <w:t>内  容</w:t>
            </w:r>
          </w:p>
        </w:tc>
        <w:tc>
          <w:tcPr>
            <w:tcW w:w="4464" w:type="dxa"/>
            <w:vAlign w:val="center"/>
          </w:tcPr>
          <w:p>
            <w:pPr>
              <w:widowControl/>
              <w:jc w:val="center"/>
              <w:rPr>
                <w:rFonts w:hint="eastAsia" w:ascii="宋体" w:hAnsi="宋体" w:eastAsia="宋体" w:cs="宋体"/>
                <w:b/>
                <w:bCs/>
                <w:kern w:val="0"/>
                <w:sz w:val="30"/>
                <w:szCs w:val="30"/>
              </w:rPr>
            </w:pPr>
            <w:r>
              <w:rPr>
                <w:rFonts w:hint="eastAsia" w:ascii="宋体" w:hAnsi="宋体" w:eastAsia="宋体" w:cs="宋体"/>
                <w:b/>
                <w:bCs/>
                <w:sz w:val="30"/>
                <w:szCs w:val="30"/>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1</w:t>
            </w:r>
          </w:p>
        </w:tc>
        <w:tc>
          <w:tcPr>
            <w:tcW w:w="3434" w:type="dxa"/>
            <w:vAlign w:val="center"/>
          </w:tcPr>
          <w:p>
            <w:pPr>
              <w:widowControl/>
              <w:spacing w:line="500" w:lineRule="atLeast"/>
              <w:jc w:val="center"/>
              <w:rPr>
                <w:rFonts w:hint="eastAsia" w:ascii="宋体" w:hAnsi="宋体" w:eastAsia="宋体" w:cs="宋体"/>
                <w:sz w:val="30"/>
                <w:szCs w:val="30"/>
                <w:lang w:eastAsia="zh-CN"/>
              </w:rPr>
            </w:pPr>
            <w:r>
              <w:rPr>
                <w:rFonts w:hint="eastAsia" w:ascii="宋体" w:hAnsi="宋体" w:eastAsia="宋体" w:cs="宋体"/>
                <w:sz w:val="30"/>
                <w:szCs w:val="30"/>
              </w:rPr>
              <w:t>网上</w:t>
            </w:r>
            <w:r>
              <w:rPr>
                <w:rFonts w:hint="eastAsia" w:ascii="宋体" w:hAnsi="宋体" w:eastAsia="宋体" w:cs="宋体"/>
                <w:sz w:val="30"/>
                <w:szCs w:val="30"/>
                <w:lang w:eastAsia="zh-CN"/>
              </w:rPr>
              <w:t>报名，</w:t>
            </w:r>
          </w:p>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lang w:eastAsia="zh-CN"/>
              </w:rPr>
              <w:t>第一次志愿填报</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9月1日9:00至</w:t>
            </w:r>
            <w:r>
              <w:rPr>
                <w:rFonts w:hint="eastAsia" w:ascii="宋体" w:hAnsi="宋体" w:eastAsia="宋体" w:cs="宋体"/>
                <w:sz w:val="30"/>
                <w:szCs w:val="30"/>
                <w:lang w:val="en-US" w:eastAsia="zh-CN"/>
              </w:rPr>
              <w:t>5</w:t>
            </w:r>
            <w:r>
              <w:rPr>
                <w:rFonts w:hint="eastAsia" w:ascii="宋体" w:hAnsi="宋体" w:eastAsia="宋体" w:cs="宋体"/>
                <w:sz w:val="30"/>
                <w:szCs w:val="30"/>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2</w:t>
            </w:r>
          </w:p>
        </w:tc>
        <w:tc>
          <w:tcPr>
            <w:tcW w:w="3434"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网上缴费</w:t>
            </w:r>
            <w:r>
              <w:rPr>
                <w:rFonts w:hint="eastAsia" w:ascii="宋体" w:hAnsi="宋体" w:eastAsia="宋体" w:cs="宋体"/>
                <w:sz w:val="30"/>
                <w:szCs w:val="30"/>
                <w:lang w:eastAsia="zh-CN"/>
              </w:rPr>
              <w:t>截止</w:t>
            </w:r>
          </w:p>
        </w:tc>
        <w:tc>
          <w:tcPr>
            <w:tcW w:w="4464"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9月</w:t>
            </w:r>
            <w:r>
              <w:rPr>
                <w:rFonts w:hint="eastAsia" w:ascii="宋体" w:hAnsi="宋体" w:eastAsia="宋体" w:cs="宋体"/>
                <w:sz w:val="30"/>
                <w:szCs w:val="30"/>
                <w:lang w:val="en-US" w:eastAsia="zh-CN"/>
              </w:rPr>
              <w:t>6</w:t>
            </w:r>
            <w:r>
              <w:rPr>
                <w:rFonts w:hint="eastAsia" w:ascii="宋体" w:hAnsi="宋体" w:eastAsia="宋体" w:cs="宋体"/>
                <w:sz w:val="30"/>
                <w:szCs w:val="30"/>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3</w:t>
            </w:r>
          </w:p>
        </w:tc>
        <w:tc>
          <w:tcPr>
            <w:tcW w:w="3434" w:type="dxa"/>
            <w:vAlign w:val="center"/>
          </w:tcPr>
          <w:p>
            <w:pPr>
              <w:widowControl/>
              <w:spacing w:line="500" w:lineRule="atLeast"/>
              <w:jc w:val="center"/>
              <w:rPr>
                <w:rFonts w:hint="eastAsia" w:ascii="宋体" w:hAnsi="宋体" w:eastAsia="宋体" w:cs="宋体"/>
                <w:kern w:val="0"/>
                <w:sz w:val="30"/>
                <w:szCs w:val="30"/>
                <w:lang w:eastAsia="zh-CN"/>
              </w:rPr>
            </w:pPr>
            <w:r>
              <w:rPr>
                <w:rFonts w:hint="eastAsia" w:ascii="宋体" w:hAnsi="宋体" w:eastAsia="宋体" w:cs="宋体"/>
                <w:sz w:val="30"/>
                <w:szCs w:val="30"/>
                <w:lang w:eastAsia="zh-CN"/>
              </w:rPr>
              <w:t>现场确认</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9月</w:t>
            </w:r>
            <w:r>
              <w:rPr>
                <w:rFonts w:hint="eastAsia" w:ascii="宋体" w:hAnsi="宋体" w:eastAsia="宋体" w:cs="宋体"/>
                <w:sz w:val="30"/>
                <w:szCs w:val="30"/>
                <w:lang w:val="en-US" w:eastAsia="zh-CN"/>
              </w:rPr>
              <w:t>3</w:t>
            </w:r>
            <w:r>
              <w:rPr>
                <w:rFonts w:hint="eastAsia" w:ascii="宋体" w:hAnsi="宋体" w:eastAsia="宋体" w:cs="宋体"/>
                <w:sz w:val="30"/>
                <w:szCs w:val="30"/>
              </w:rPr>
              <w:t>日至</w:t>
            </w:r>
            <w:r>
              <w:rPr>
                <w:rFonts w:hint="eastAsia" w:ascii="宋体" w:hAnsi="宋体" w:eastAsia="宋体" w:cs="宋体"/>
                <w:sz w:val="30"/>
                <w:szCs w:val="30"/>
                <w:lang w:val="en-US" w:eastAsia="zh-CN"/>
              </w:rPr>
              <w:t>7</w:t>
            </w:r>
            <w:r>
              <w:rPr>
                <w:rFonts w:hint="eastAsia" w:ascii="宋体" w:hAnsi="宋体" w:eastAsia="宋体"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4</w:t>
            </w:r>
          </w:p>
        </w:tc>
        <w:tc>
          <w:tcPr>
            <w:tcW w:w="3434" w:type="dxa"/>
            <w:vAlign w:val="center"/>
          </w:tcPr>
          <w:p>
            <w:pPr>
              <w:pStyle w:val="2"/>
              <w:spacing w:line="400" w:lineRule="exact"/>
              <w:jc w:val="center"/>
              <w:rPr>
                <w:rFonts w:hint="eastAsia" w:ascii="宋体" w:hAnsi="宋体" w:eastAsia="宋体" w:cs="宋体"/>
                <w:sz w:val="30"/>
                <w:szCs w:val="30"/>
              </w:rPr>
            </w:pPr>
            <w:r>
              <w:rPr>
                <w:rFonts w:hint="eastAsia" w:ascii="宋体" w:hAnsi="宋体" w:eastAsia="宋体" w:cs="宋体"/>
                <w:sz w:val="30"/>
                <w:szCs w:val="30"/>
              </w:rPr>
              <w:t>网上打印准考证</w:t>
            </w:r>
          </w:p>
        </w:tc>
        <w:tc>
          <w:tcPr>
            <w:tcW w:w="4464"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10月1</w:t>
            </w:r>
            <w:r>
              <w:rPr>
                <w:rFonts w:hint="eastAsia" w:ascii="宋体" w:hAnsi="宋体" w:eastAsia="宋体" w:cs="宋体"/>
                <w:sz w:val="30"/>
                <w:szCs w:val="30"/>
                <w:lang w:val="en-US" w:eastAsia="zh-CN"/>
              </w:rPr>
              <w:t>8</w:t>
            </w:r>
            <w:r>
              <w:rPr>
                <w:rFonts w:hint="eastAsia" w:ascii="宋体" w:hAnsi="宋体" w:eastAsia="宋体" w:cs="宋体"/>
                <w:sz w:val="30"/>
                <w:szCs w:val="30"/>
              </w:rPr>
              <w:t>日</w:t>
            </w:r>
            <w:r>
              <w:rPr>
                <w:rFonts w:hint="eastAsia" w:ascii="宋体" w:hAnsi="宋体" w:eastAsia="宋体" w:cs="宋体"/>
                <w:sz w:val="30"/>
                <w:szCs w:val="30"/>
                <w:lang w:val="en-US" w:eastAsia="zh-CN"/>
              </w:rPr>
              <w:t>9:00</w:t>
            </w:r>
            <w:r>
              <w:rPr>
                <w:rFonts w:hint="eastAsia" w:ascii="宋体" w:hAnsi="宋体" w:eastAsia="宋体" w:cs="宋体"/>
                <w:sz w:val="30"/>
                <w:szCs w:val="30"/>
                <w:lang w:eastAsia="zh-CN"/>
              </w:rPr>
              <w:t>至</w:t>
            </w:r>
            <w:r>
              <w:rPr>
                <w:rFonts w:hint="eastAsia" w:ascii="宋体" w:hAnsi="宋体" w:eastAsia="宋体" w:cs="宋体"/>
                <w:sz w:val="30"/>
                <w:szCs w:val="30"/>
              </w:rPr>
              <w:t>2</w:t>
            </w:r>
            <w:r>
              <w:rPr>
                <w:rFonts w:hint="eastAsia" w:ascii="宋体" w:hAnsi="宋体" w:eastAsia="宋体" w:cs="宋体"/>
                <w:sz w:val="30"/>
                <w:szCs w:val="30"/>
                <w:lang w:val="en-US" w:eastAsia="zh-CN"/>
              </w:rPr>
              <w:t>5</w:t>
            </w:r>
            <w:r>
              <w:rPr>
                <w:rFonts w:hint="eastAsia" w:ascii="宋体" w:hAnsi="宋体" w:eastAsia="宋体"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5</w:t>
            </w:r>
          </w:p>
        </w:tc>
        <w:tc>
          <w:tcPr>
            <w:tcW w:w="343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第二次志愿</w:t>
            </w:r>
            <w:r>
              <w:rPr>
                <w:rFonts w:hint="eastAsia" w:ascii="宋体" w:hAnsi="宋体" w:eastAsia="宋体" w:cs="宋体"/>
                <w:sz w:val="30"/>
                <w:szCs w:val="30"/>
                <w:lang w:eastAsia="zh-CN"/>
              </w:rPr>
              <w:t>信息确认</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11月2</w:t>
            </w:r>
            <w:r>
              <w:rPr>
                <w:rFonts w:hint="eastAsia" w:ascii="宋体" w:hAnsi="宋体" w:eastAsia="宋体" w:cs="宋体"/>
                <w:sz w:val="30"/>
                <w:szCs w:val="30"/>
                <w:lang w:val="en-US" w:eastAsia="zh-CN"/>
              </w:rPr>
              <w:t>7</w:t>
            </w:r>
            <w:r>
              <w:rPr>
                <w:rFonts w:hint="eastAsia" w:ascii="宋体" w:hAnsi="宋体" w:eastAsia="宋体" w:cs="宋体"/>
                <w:sz w:val="30"/>
                <w:szCs w:val="30"/>
              </w:rPr>
              <w:t>日9:00至</w:t>
            </w:r>
            <w:r>
              <w:rPr>
                <w:rFonts w:hint="eastAsia" w:ascii="宋体" w:hAnsi="宋体" w:eastAsia="宋体" w:cs="宋体"/>
                <w:sz w:val="30"/>
                <w:szCs w:val="30"/>
                <w:lang w:val="en-US" w:eastAsia="zh-CN"/>
              </w:rPr>
              <w:t>29</w:t>
            </w:r>
            <w:r>
              <w:rPr>
                <w:rFonts w:hint="eastAsia" w:ascii="宋体" w:hAnsi="宋体" w:eastAsia="宋体" w:cs="宋体"/>
                <w:sz w:val="30"/>
                <w:szCs w:val="30"/>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6</w:t>
            </w:r>
          </w:p>
        </w:tc>
        <w:tc>
          <w:tcPr>
            <w:tcW w:w="343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lang w:eastAsia="zh-CN"/>
              </w:rPr>
              <w:t>填报</w:t>
            </w:r>
            <w:r>
              <w:rPr>
                <w:rFonts w:hint="eastAsia" w:ascii="宋体" w:hAnsi="宋体" w:eastAsia="宋体" w:cs="宋体"/>
                <w:sz w:val="30"/>
                <w:szCs w:val="30"/>
              </w:rPr>
              <w:t>征求志愿</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12月</w:t>
            </w:r>
            <w:r>
              <w:rPr>
                <w:rFonts w:hint="eastAsia" w:ascii="宋体" w:hAnsi="宋体" w:eastAsia="宋体" w:cs="宋体"/>
                <w:sz w:val="30"/>
                <w:szCs w:val="30"/>
                <w:lang w:val="en-US" w:eastAsia="zh-CN"/>
              </w:rPr>
              <w:t>7</w:t>
            </w:r>
            <w:r>
              <w:rPr>
                <w:rFonts w:hint="eastAsia" w:ascii="宋体" w:hAnsi="宋体" w:eastAsia="宋体" w:cs="宋体"/>
                <w:sz w:val="30"/>
                <w:szCs w:val="30"/>
              </w:rPr>
              <w:t>日9:00至</w:t>
            </w:r>
            <w:r>
              <w:rPr>
                <w:rFonts w:hint="eastAsia" w:ascii="宋体" w:hAnsi="宋体" w:eastAsia="宋体" w:cs="宋体"/>
                <w:sz w:val="30"/>
                <w:szCs w:val="30"/>
                <w:lang w:val="en-US" w:eastAsia="zh-CN"/>
              </w:rPr>
              <w:t>8</w:t>
            </w:r>
            <w:r>
              <w:rPr>
                <w:rFonts w:hint="eastAsia" w:ascii="宋体" w:hAnsi="宋体" w:eastAsia="宋体" w:cs="宋体"/>
                <w:sz w:val="30"/>
                <w:szCs w:val="30"/>
              </w:rPr>
              <w:t>日18:00</w:t>
            </w:r>
          </w:p>
        </w:tc>
      </w:tr>
    </w:tbl>
    <w:p>
      <w:pPr>
        <w:widowControl/>
        <w:spacing w:line="500" w:lineRule="atLeast"/>
        <w:jc w:val="center"/>
        <w:rPr>
          <w:rFonts w:ascii="仿宋_GB2312" w:hAnsi="仿宋" w:cs="宋体"/>
          <w:kern w:val="0"/>
          <w:sz w:val="18"/>
          <w:szCs w:val="18"/>
        </w:rPr>
      </w:pPr>
    </w:p>
    <w:p>
      <w:pPr>
        <w:widowControl/>
        <w:spacing w:line="500" w:lineRule="atLeast"/>
        <w:jc w:val="center"/>
        <w:rPr>
          <w:rFonts w:ascii="仿宋_GB2312" w:hAnsi="仿宋" w:cs="宋体"/>
          <w:kern w:val="0"/>
          <w:sz w:val="18"/>
          <w:szCs w:val="18"/>
        </w:rPr>
      </w:pPr>
    </w:p>
    <w:p>
      <w:pPr>
        <w:spacing w:line="560" w:lineRule="exact"/>
        <w:rPr>
          <w:rFonts w:ascii="仿宋_GB2312" w:hAnsi="仿宋" w:cs="新宋体-18030"/>
          <w:bCs/>
          <w:sz w:val="32"/>
          <w:szCs w:val="32"/>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jc w:val="center"/>
        <w:rPr>
          <w:rFonts w:ascii="方正小标宋简体" w:eastAsia="方正小标宋简体"/>
          <w:sz w:val="36"/>
          <w:szCs w:val="36"/>
        </w:rPr>
      </w:pPr>
      <w:r>
        <w:rPr>
          <w:rFonts w:hint="eastAsia" w:ascii="方正小标宋简体" w:eastAsia="方正小标宋简体"/>
          <w:sz w:val="36"/>
          <w:szCs w:val="36"/>
        </w:rPr>
        <w:t>专科起点升本科招生专业与统一考试科目对照表</w:t>
      </w:r>
    </w:p>
    <w:p>
      <w:pPr>
        <w:jc w:val="left"/>
        <w:rPr>
          <w:rFonts w:ascii="黑体" w:hAnsi="黑体" w:eastAsia="黑体"/>
          <w:b/>
          <w:sz w:val="28"/>
          <w:szCs w:val="28"/>
        </w:rPr>
      </w:pPr>
      <w:r>
        <w:rPr>
          <w:rFonts w:hint="eastAsia" w:ascii="黑体" w:hAnsi="黑体" w:eastAsia="黑体"/>
          <w:bCs/>
          <w:sz w:val="28"/>
          <w:szCs w:val="28"/>
        </w:rPr>
        <w:t>一、哲学、文学、历史学以及中医学类、中药学类</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6"/>
        <w:gridCol w:w="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7536" w:type="dxa"/>
            <w:tcBorders>
              <w:top w:val="single" w:color="auto" w:sz="4" w:space="0"/>
              <w:bottom w:val="single" w:color="auto" w:sz="4" w:space="0"/>
              <w:right w:val="single" w:color="auto" w:sz="4" w:space="0"/>
            </w:tcBorders>
            <w:vAlign w:val="center"/>
          </w:tcPr>
          <w:p>
            <w:pPr>
              <w:tabs>
                <w:tab w:val="left" w:pos="2967"/>
              </w:tabs>
              <w:spacing w:line="360" w:lineRule="exact"/>
              <w:jc w:val="center"/>
              <w:rPr>
                <w:rFonts w:ascii="仿宋_GB2312"/>
                <w:b/>
                <w:sz w:val="24"/>
              </w:rPr>
            </w:pPr>
            <w:r>
              <w:rPr>
                <w:rFonts w:hint="eastAsia" w:ascii="仿宋_GB2312" w:hAnsi="仿宋"/>
                <w:b/>
                <w:sz w:val="24"/>
              </w:rPr>
              <w:t>招</w:t>
            </w:r>
            <w:r>
              <w:rPr>
                <w:rFonts w:ascii="仿宋_GB2312"/>
                <w:b/>
                <w:sz w:val="24"/>
              </w:rPr>
              <w:t xml:space="preserve">    </w:t>
            </w:r>
            <w:r>
              <w:rPr>
                <w:rFonts w:hint="eastAsia" w:ascii="仿宋_GB2312" w:hAnsi="仿宋"/>
                <w:b/>
                <w:sz w:val="24"/>
              </w:rPr>
              <w:t>生</w:t>
            </w:r>
            <w:r>
              <w:rPr>
                <w:rFonts w:ascii="仿宋_GB2312"/>
                <w:b/>
                <w:sz w:val="24"/>
              </w:rPr>
              <w:t xml:space="preserve">    </w:t>
            </w:r>
            <w:r>
              <w:rPr>
                <w:rFonts w:hint="eastAsia" w:ascii="仿宋_GB2312" w:hAnsi="仿宋"/>
                <w:b/>
                <w:sz w:val="24"/>
              </w:rPr>
              <w:t>专</w:t>
            </w:r>
            <w:r>
              <w:rPr>
                <w:rFonts w:ascii="仿宋_GB2312"/>
                <w:b/>
                <w:sz w:val="24"/>
              </w:rPr>
              <w:t xml:space="preserve">    </w:t>
            </w:r>
            <w:r>
              <w:rPr>
                <w:rFonts w:hint="eastAsia" w:ascii="仿宋_GB2312" w:hAnsi="仿宋"/>
                <w:b/>
                <w:sz w:val="24"/>
              </w:rPr>
              <w:t>业</w:t>
            </w:r>
          </w:p>
        </w:tc>
        <w:tc>
          <w:tcPr>
            <w:tcW w:w="864" w:type="dxa"/>
            <w:tcBorders>
              <w:top w:val="single" w:color="auto" w:sz="4" w:space="0"/>
              <w:left w:val="single" w:color="auto" w:sz="4" w:space="0"/>
              <w:bottom w:val="single" w:color="auto" w:sz="4" w:space="0"/>
            </w:tcBorders>
          </w:tcPr>
          <w:p>
            <w:pPr>
              <w:spacing w:line="360" w:lineRule="exact"/>
              <w:jc w:val="center"/>
              <w:rPr>
                <w:rFonts w:hint="eastAsia" w:ascii="仿宋_GB2312" w:hAnsi="仿宋"/>
                <w:b/>
                <w:sz w:val="24"/>
              </w:rPr>
            </w:pPr>
            <w:r>
              <w:rPr>
                <w:rFonts w:hint="eastAsia" w:ascii="仿宋_GB2312" w:hAnsi="仿宋"/>
                <w:b/>
                <w:sz w:val="24"/>
              </w:rPr>
              <w:t>统考</w:t>
            </w:r>
          </w:p>
          <w:p>
            <w:pPr>
              <w:spacing w:line="360" w:lineRule="exact"/>
              <w:jc w:val="center"/>
              <w:rPr>
                <w:rFonts w:ascii="仿宋_GB2312"/>
                <w:b/>
                <w:sz w:val="24"/>
              </w:rPr>
            </w:pPr>
            <w:r>
              <w:rPr>
                <w:rFonts w:hint="eastAsia" w:ascii="仿宋_GB2312" w:hAnsi="仿宋"/>
                <w:b/>
                <w:sz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536" w:type="dxa"/>
            <w:tcBorders>
              <w:top w:val="single" w:color="auto" w:sz="4" w:space="0"/>
              <w:bottom w:val="single" w:color="auto" w:sz="4" w:space="0"/>
              <w:right w:val="single" w:color="auto" w:sz="4" w:space="0"/>
            </w:tcBorders>
          </w:tcPr>
          <w:tbl>
            <w:tblPr>
              <w:tblStyle w:val="10"/>
              <w:tblW w:w="6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42"/>
              <w:gridCol w:w="96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哲学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逻辑学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宗教学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030401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民族学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050101</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050102</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汉语言</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050103</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050104</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中国少数民族语言文学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050105</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古典文献学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050106</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应用语言学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050107</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秘书学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050108</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中国语言与文化</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050109</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手语翻译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英语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德语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西班牙语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阿拉伯语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日语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波斯语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朝鲜语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菲律宾语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梵语巴利语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印度尼西亚语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印地语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柬埔寨语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老挝语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缅甸语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马来语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蒙古语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僧伽罗语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乌尔都语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希伯来语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越南语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豪萨语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斯瓦希里语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阿尔巴尼亚语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保加利亚语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波兰语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捷克语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斯洛伐克语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罗马尼亚语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葡萄牙语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瑞典语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塞尔维亚语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土耳其语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希腊语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匈牙利语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意大利语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泰米尔语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普什图语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世界语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孟加拉语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尼泊尔语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克罗地亚语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荷兰语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芬兰语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乌克兰语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挪威语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丹麦语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冰岛语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爱尔兰语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拉脱维亚语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立陶宛语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斯洛文尼亚语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爱沙尼亚语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马耳他语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哈萨克语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乌兹别克语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祖鲁语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拉丁语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翻译</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阿姆哈拉语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吉尔吉斯语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索马里语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土库曼语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加泰罗尼亚语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约鲁巴语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亚美尼亚语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马达加斯加语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格鲁吉亚语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阿塞拜疆语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阿非利卡语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马其顿语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塔吉克语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茨瓦纳语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恩德贝莱语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科摩罗语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克里奥尔语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绍纳语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提格雷尼亚语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白俄罗斯语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毛利语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汤加语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萨摩亚语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库尔德语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广播电视学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广告学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编辑出版学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060101</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历史学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060102</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世界史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060103</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060104</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文物与博物馆学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060105</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文物保护技术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060106</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外国语言与外国历史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060107</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藏医学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维医学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哈医学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100801</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藏药学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中药制药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中草药栽培与鉴定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维吾尔语言文学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哈萨克语言文学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蒙古语言文学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朝鲜语言文学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296" w:type="dxa"/>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藏语言文学</w:t>
                  </w:r>
                </w:p>
              </w:tc>
            </w:tr>
          </w:tbl>
          <w:p>
            <w:pPr>
              <w:tabs>
                <w:tab w:val="left" w:pos="2952"/>
              </w:tabs>
              <w:spacing w:line="360" w:lineRule="exact"/>
              <w:jc w:val="center"/>
              <w:rPr>
                <w:rFonts w:ascii="仿宋_GB2312"/>
                <w:sz w:val="24"/>
              </w:rPr>
            </w:pPr>
          </w:p>
        </w:tc>
        <w:tc>
          <w:tcPr>
            <w:tcW w:w="864" w:type="dxa"/>
            <w:tcBorders>
              <w:top w:val="single" w:color="auto" w:sz="4" w:space="0"/>
              <w:left w:val="single" w:color="auto" w:sz="4" w:space="0"/>
              <w:bottom w:val="single" w:color="auto" w:sz="4" w:space="0"/>
            </w:tcBorders>
          </w:tcPr>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jc w:val="center"/>
              <w:rPr>
                <w:rFonts w:ascii="仿宋_GB2312"/>
                <w:sz w:val="24"/>
              </w:rPr>
            </w:pPr>
            <w:r>
              <w:rPr>
                <w:rFonts w:hint="eastAsia" w:ascii="仿宋_GB2312" w:hAnsi="仿宋"/>
                <w:sz w:val="24"/>
              </w:rPr>
              <w:t>政治</w:t>
            </w:r>
          </w:p>
          <w:p>
            <w:pPr>
              <w:spacing w:line="360" w:lineRule="exact"/>
              <w:jc w:val="center"/>
              <w:rPr>
                <w:rFonts w:ascii="仿宋_GB2312"/>
                <w:sz w:val="24"/>
              </w:rPr>
            </w:pPr>
          </w:p>
          <w:p>
            <w:pPr>
              <w:spacing w:line="360" w:lineRule="exact"/>
              <w:jc w:val="center"/>
              <w:rPr>
                <w:rFonts w:ascii="仿宋_GB2312"/>
                <w:sz w:val="24"/>
              </w:rPr>
            </w:pPr>
            <w:r>
              <w:rPr>
                <w:rFonts w:hint="eastAsia" w:ascii="仿宋_GB2312" w:hAnsi="仿宋"/>
                <w:sz w:val="24"/>
              </w:rPr>
              <w:t>外语</w:t>
            </w:r>
          </w:p>
          <w:p>
            <w:pPr>
              <w:spacing w:line="360" w:lineRule="exact"/>
              <w:jc w:val="center"/>
              <w:rPr>
                <w:rFonts w:ascii="仿宋_GB2312"/>
                <w:sz w:val="24"/>
              </w:rPr>
            </w:pPr>
          </w:p>
          <w:p>
            <w:pPr>
              <w:spacing w:line="360" w:lineRule="exact"/>
              <w:jc w:val="center"/>
              <w:rPr>
                <w:rFonts w:ascii="仿宋_GB2312"/>
                <w:sz w:val="24"/>
              </w:rPr>
            </w:pPr>
            <w:r>
              <w:rPr>
                <w:rFonts w:hint="eastAsia" w:ascii="仿宋_GB2312" w:hAnsi="仿宋"/>
                <w:sz w:val="24"/>
              </w:rPr>
              <w:t>大学语文</w:t>
            </w: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tc>
      </w:tr>
    </w:tbl>
    <w:p>
      <w:pPr>
        <w:spacing w:line="360" w:lineRule="exact"/>
        <w:rPr>
          <w:rFonts w:eastAsia="仿宋"/>
          <w:sz w:val="24"/>
        </w:rPr>
      </w:pPr>
    </w:p>
    <w:p>
      <w:pPr>
        <w:spacing w:line="360" w:lineRule="exact"/>
        <w:rPr>
          <w:rFonts w:ascii="黑体" w:hAnsi="黑体" w:eastAsia="黑体"/>
          <w:sz w:val="28"/>
          <w:szCs w:val="28"/>
        </w:rPr>
      </w:pPr>
      <w:r>
        <w:rPr>
          <w:rFonts w:hint="eastAsia" w:ascii="黑体" w:hAnsi="黑体" w:eastAsia="黑体"/>
          <w:bCs/>
          <w:sz w:val="28"/>
          <w:szCs w:val="28"/>
        </w:rPr>
        <w:t>二、艺术类</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506"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招    生    专    业</w:t>
            </w:r>
          </w:p>
        </w:tc>
        <w:tc>
          <w:tcPr>
            <w:tcW w:w="894"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tcPr>
          <w:tbl>
            <w:tblPr>
              <w:tblStyle w:val="10"/>
              <w:tblW w:w="6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网络与新媒体</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050307</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艺术史论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130102</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音乐表演</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130202</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作曲与作曲技术理论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130204</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舞蹈学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130206</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舞蹈编导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表演</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130302</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电影学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130304</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戏剧影视文学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广播电视编导</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130306</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戏剧影视导演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戏剧影视美术设计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130308</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录音艺术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播音与主持艺术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130310</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影视摄影与制作</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130401</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绘画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130403</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摄影</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130405</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书法学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130407</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实验艺术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跨媒体艺术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130409</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文物保护与修复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漫画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130501</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视觉传达设计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130503</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产品设计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130505</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服装与服饰设计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公共艺术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130507</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数字媒体艺术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130509</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陶瓷艺术设计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130511</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80" w:type="dxa"/>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130512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包装设计</w:t>
                  </w:r>
                </w:p>
              </w:tc>
            </w:tr>
          </w:tbl>
          <w:p>
            <w:pPr>
              <w:pStyle w:val="2"/>
              <w:spacing w:line="360" w:lineRule="exact"/>
              <w:ind w:left="-3" w:leftChars="-2" w:hanging="1"/>
              <w:jc w:val="left"/>
              <w:rPr>
                <w:rFonts w:ascii="Times New Roman" w:hAnsi="Times New Roman" w:eastAsia="仿宋"/>
                <w:bCs/>
                <w:sz w:val="24"/>
                <w:szCs w:val="24"/>
              </w:rPr>
            </w:pPr>
          </w:p>
        </w:tc>
        <w:tc>
          <w:tcPr>
            <w:tcW w:w="894" w:type="dxa"/>
            <w:tcBorders>
              <w:top w:val="single" w:color="auto" w:sz="4" w:space="0"/>
              <w:left w:val="single" w:color="auto" w:sz="4" w:space="0"/>
              <w:bottom w:val="single" w:color="auto" w:sz="4" w:space="0"/>
            </w:tcBorders>
          </w:tcPr>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艺术概论</w:t>
            </w:r>
          </w:p>
        </w:tc>
      </w:tr>
    </w:tbl>
    <w:p>
      <w:pPr>
        <w:spacing w:line="360" w:lineRule="exact"/>
        <w:rPr>
          <w:rFonts w:eastAsia="仿宋"/>
          <w:sz w:val="24"/>
        </w:rPr>
      </w:pPr>
    </w:p>
    <w:p>
      <w:pPr>
        <w:spacing w:line="360" w:lineRule="exact"/>
        <w:rPr>
          <w:rFonts w:ascii="黑体" w:hAnsi="黑体" w:eastAsia="黑体"/>
          <w:sz w:val="28"/>
          <w:szCs w:val="28"/>
        </w:rPr>
      </w:pPr>
      <w:r>
        <w:rPr>
          <w:rFonts w:hint="eastAsia" w:ascii="黑体" w:hAnsi="黑体" w:eastAsia="黑体"/>
          <w:sz w:val="28"/>
          <w:szCs w:val="28"/>
        </w:rPr>
        <w:t>三、工学、理学</w:t>
      </w:r>
      <w:r>
        <w:rPr>
          <w:rFonts w:ascii="黑体" w:hAnsi="黑体" w:eastAsia="黑体"/>
          <w:sz w:val="28"/>
          <w:szCs w:val="28"/>
        </w:rPr>
        <w:t>(</w:t>
      </w:r>
      <w:r>
        <w:rPr>
          <w:rFonts w:hint="eastAsia" w:ascii="黑体" w:hAnsi="黑体" w:eastAsia="黑体"/>
          <w:sz w:val="28"/>
          <w:szCs w:val="28"/>
        </w:rPr>
        <w:t>生物科学类、地理科学类、心理学类等除外</w:t>
      </w:r>
      <w:r>
        <w:rPr>
          <w:rFonts w:ascii="黑体" w:hAnsi="黑体" w:eastAsia="黑体"/>
          <w:sz w:val="28"/>
          <w:szCs w:val="28"/>
        </w:rPr>
        <w:t>)</w:t>
      </w:r>
    </w:p>
    <w:tbl>
      <w:tblPr>
        <w:tblStyle w:val="10"/>
        <w:tblW w:w="8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506" w:type="dxa"/>
            <w:vAlign w:val="center"/>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招    生    专    业</w:t>
            </w:r>
          </w:p>
        </w:tc>
        <w:tc>
          <w:tcPr>
            <w:tcW w:w="963" w:type="dxa"/>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w:t>
            </w:r>
          </w:p>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506" w:type="dxa"/>
          </w:tcPr>
          <w:tbl>
            <w:tblPr>
              <w:tblStyle w:val="10"/>
              <w:tblW w:w="7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464"/>
              <w:gridCol w:w="986"/>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数学与应用数学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信息与计算科学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070103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数理基础科学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应用物理学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声学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应用化学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分子科学与工程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070401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天文学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070601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大气科学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070602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应用气象学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军事海洋学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070801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070802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空间科学与技术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地球化学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古生物学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整合科学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神经科学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理论与应用力学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材料成型及控制工程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工业设计</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过程装备与控制工程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车辆工程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080210</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微机电系统工程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080301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测控技术与仪器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材料化学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金属材料工程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无机非金属材料工程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高分子材料与工程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复合材料与工程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粉体材料科学与工程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宝石及材料工艺学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焊接技术与工程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功能材料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纳米材料与技术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新能源材料与器件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材料设计科学与工程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080501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能源与动力工程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080502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能源与环境系统工程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080503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新能源科学与工程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电气工程及其自动化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智能电网信息工程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光源与照明</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电机电器智能化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电子信息工程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通信工程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微电子科学与工程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光电信息科学与工程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广播电视工程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电子封装技术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集成电路设计与集成系统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医学信息工程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电磁场与无线技术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电波传播与天线</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电子信息科学与技术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电信工程及管理</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应用电子技术教育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自动化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机器人工程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邮政工程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计算机科学与技术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物联网工程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数字媒体技术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智能科学与技术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电子与计算机工程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网络空间安全</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电影制作</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建筑环境与能源应用工程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给排水科学与工程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建筑电气与智能化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城市地下空间工程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道路桥梁与渡河工程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081007</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水利水电工程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水文与水资源工程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港口航道与海岸工程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水利科学与工程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测绘工程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遥感科学与技术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地理国情监测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地理空间信息工程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化学工程与工艺</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资源循环科学与工程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化学工程与工业生物工程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勘查技术与工程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资源勘查工程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地下水科学与工程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采矿工程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石油工程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矿物加工工程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油气储运工程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矿物资源工程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海洋油气工程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服装设计与工程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非织造材料与工程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服装设计与工艺教育</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丝绸设计与工程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轻化工程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包装工程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印刷工程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香料香精技术与工程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交通运输</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航海技术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交通设备与控制工程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救助与打捞工程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081901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船舶与海洋工程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081902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081903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海洋资源开发技术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航空航天工程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飞行器设计与工程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飞行器动力工程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飞行器环境与生命保障工程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飞行器质量与可靠性</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082007</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飞行器适航技术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082008</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飞行器控制与信息工程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082009</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无人驾驶航空器系统工程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武器系统与工程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武器发射工程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探测制导与控制技术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弹药工程与爆炸技术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特种能源技术与工程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装甲车辆工程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信息对抗技术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核工程与核技术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辐射防护与核安全</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核化工与核燃料工程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农业机械化及其自动化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农业电气化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农业建筑环境与能源工程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土地整治工程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082401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森林工程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082402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木材科学与工程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082403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林产化工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环保设备工程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082507</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082601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生物医学工程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082602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假肢矫形工程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082603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临床工程技术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食品质量与安全</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粮食工程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乳品工程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酿酒工程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葡萄与葡萄酒工程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082709</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食品安全与检测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建筑学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风景园林</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历史建筑保护工程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082901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安全工程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083001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083002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生物制药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刑事科学技术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消防工程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安全防范工程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公安视听技术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抢险救援指挥与技术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网络安全与执法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核生化消防</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海警舰艇指挥与技术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852" w:type="dxa"/>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保密管理</w:t>
                  </w:r>
                </w:p>
              </w:tc>
            </w:tr>
          </w:tbl>
          <w:p/>
        </w:tc>
        <w:tc>
          <w:tcPr>
            <w:tcW w:w="963" w:type="dxa"/>
          </w:tcPr>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widowControl/>
              <w:spacing w:line="360" w:lineRule="exact"/>
              <w:jc w:val="left"/>
              <w:rPr>
                <w:rFonts w:eastAsia="仿宋"/>
                <w:bCs/>
                <w:sz w:val="24"/>
              </w:rPr>
            </w:pPr>
            <w:r>
              <w:rPr>
                <w:rFonts w:hint="eastAsia" w:hAnsi="仿宋" w:eastAsia="仿宋"/>
                <w:bCs/>
                <w:sz w:val="24"/>
              </w:rPr>
              <w:t>高数（一）</w:t>
            </w:r>
          </w:p>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widowControl/>
              <w:spacing w:line="360" w:lineRule="exact"/>
              <w:jc w:val="left"/>
              <w:rPr>
                <w:rFonts w:eastAsia="仿宋"/>
                <w:bCs/>
                <w:sz w:val="24"/>
              </w:rPr>
            </w:pPr>
            <w:r>
              <w:rPr>
                <w:rFonts w:hint="eastAsia" w:hAnsi="仿宋" w:eastAsia="仿宋"/>
                <w:bCs/>
                <w:sz w:val="24"/>
              </w:rPr>
              <w:t>高数（一）</w:t>
            </w: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widowControl/>
              <w:spacing w:line="360" w:lineRule="exact"/>
              <w:jc w:val="left"/>
              <w:rPr>
                <w:rFonts w:eastAsia="仿宋"/>
                <w:bCs/>
                <w:sz w:val="24"/>
              </w:rPr>
            </w:pPr>
            <w:r>
              <w:rPr>
                <w:rFonts w:hint="eastAsia" w:hAnsi="仿宋" w:eastAsia="仿宋"/>
                <w:bCs/>
                <w:sz w:val="24"/>
              </w:rPr>
              <w:t>高数（一）</w:t>
            </w:r>
          </w:p>
        </w:tc>
      </w:tr>
    </w:tbl>
    <w:p>
      <w:pPr>
        <w:spacing w:line="360" w:lineRule="exact"/>
        <w:rPr>
          <w:rFonts w:eastAsia="仿宋"/>
          <w:sz w:val="24"/>
        </w:rPr>
      </w:pPr>
    </w:p>
    <w:p>
      <w:pPr>
        <w:pStyle w:val="2"/>
        <w:spacing w:line="360" w:lineRule="exact"/>
        <w:jc w:val="left"/>
        <w:rPr>
          <w:rFonts w:ascii="黑体" w:hAnsi="黑体" w:eastAsia="黑体"/>
          <w:w w:val="98"/>
          <w:sz w:val="28"/>
          <w:szCs w:val="28"/>
        </w:rPr>
      </w:pPr>
      <w:r>
        <w:rPr>
          <w:rFonts w:hint="eastAsia" w:ascii="黑体" w:hAnsi="黑体" w:eastAsia="黑体"/>
          <w:w w:val="98"/>
          <w:sz w:val="28"/>
          <w:szCs w:val="28"/>
        </w:rPr>
        <w:t>四、经济学、管理学以及生物科学类、地理科学类、心理学类、药学类等</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1"/>
        <w:gridCol w:w="8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7521"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招    生    专    业</w:t>
            </w:r>
          </w:p>
        </w:tc>
        <w:tc>
          <w:tcPr>
            <w:tcW w:w="879"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trPr>
        <w:tc>
          <w:tcPr>
            <w:tcW w:w="7521" w:type="dxa"/>
            <w:tcBorders>
              <w:top w:val="single" w:color="auto" w:sz="4" w:space="0"/>
              <w:bottom w:val="single" w:color="auto" w:sz="4" w:space="0"/>
              <w:right w:val="single" w:color="auto" w:sz="4" w:space="0"/>
            </w:tcBorders>
          </w:tcPr>
          <w:tbl>
            <w:tblPr>
              <w:tblStyle w:val="10"/>
              <w:tblW w:w="7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国民经济管理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资源与环境经济学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商务经济学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020106</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劳动经济学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020201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税收学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金融工程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保险学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投资学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020305</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金融数学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信用管理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精算学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020309</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020401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国际经济与贸易</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020402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贸易经济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自然地理与资源环境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人文地理与城乡规划</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地球信息科学与技术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生态学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071101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071102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应用心理学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071201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应用统计学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080209</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机电技术教育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080212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汽车维修工程教育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环境生态工程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资源环境科学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烹饪与营养教育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090110</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090111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园艺教育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090403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动植物检疫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临床药学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药物分析</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100706</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中药资源与开发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管理科学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房地产开发与管理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工程造价</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邮政管理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工商管理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会计学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国际商务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120206</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审计学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120208</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物业管理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120210</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劳动关系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体育经济与管理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财务会计教育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市场营销教育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零售业管理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120301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120302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农村区域发展</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公共事业管理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行政管理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劳动与社会保障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土地资源管理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120405</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海关管理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海事管理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120409</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健康服务与管理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120411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海警后勤管理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120501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图书馆学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120502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120503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信息资源管理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120601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120602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物流工程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120603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120701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工业工程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120702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标准化工程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120703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质量管理工程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120801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120802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电子商务及法律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酒店管理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会展经济与管理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旅游管理与服务教育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320101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区域经济开发与管理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420201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网络营销与管理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420401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城市公共安全管理</w:t>
                  </w:r>
                </w:p>
              </w:tc>
            </w:tr>
          </w:tbl>
          <w:p>
            <w:pPr>
              <w:pStyle w:val="2"/>
              <w:spacing w:line="360" w:lineRule="exact"/>
              <w:ind w:left="-4" w:leftChars="-2" w:firstLine="1"/>
              <w:jc w:val="left"/>
              <w:rPr>
                <w:rFonts w:ascii="Times New Roman" w:hAnsi="Times New Roman" w:eastAsia="仿宋"/>
                <w:sz w:val="24"/>
                <w:szCs w:val="24"/>
              </w:rPr>
            </w:pPr>
          </w:p>
        </w:tc>
        <w:tc>
          <w:tcPr>
            <w:tcW w:w="879" w:type="dxa"/>
            <w:tcBorders>
              <w:top w:val="single" w:color="auto" w:sz="4" w:space="0"/>
              <w:left w:val="single" w:color="auto" w:sz="4" w:space="0"/>
              <w:bottom w:val="single" w:color="auto" w:sz="4" w:space="0"/>
            </w:tcBorders>
          </w:tcPr>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left"/>
              <w:rPr>
                <w:rFonts w:ascii="Times New Roman" w:hAnsi="Times New Roman" w:eastAsia="仿宋"/>
                <w:bCs/>
                <w:sz w:val="24"/>
                <w:szCs w:val="24"/>
              </w:rPr>
            </w:pPr>
            <w:r>
              <w:rPr>
                <w:rFonts w:hint="eastAsia" w:ascii="Times New Roman" w:hAnsi="仿宋" w:eastAsia="仿宋"/>
                <w:bCs/>
                <w:sz w:val="24"/>
                <w:szCs w:val="24"/>
              </w:rPr>
              <w:t>高数（二）</w:t>
            </w: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r>
              <w:rPr>
                <w:rFonts w:hint="eastAsia" w:ascii="Times New Roman" w:hAnsi="仿宋" w:eastAsia="仿宋"/>
                <w:bCs/>
                <w:sz w:val="24"/>
                <w:szCs w:val="24"/>
              </w:rPr>
              <w:t>高数（二）</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bCs/>
          <w:sz w:val="28"/>
          <w:szCs w:val="28"/>
        </w:rPr>
      </w:pPr>
      <w:r>
        <w:rPr>
          <w:rFonts w:hint="eastAsia" w:ascii="黑体" w:hAnsi="黑体" w:eastAsia="黑体"/>
          <w:bCs/>
          <w:sz w:val="28"/>
          <w:szCs w:val="28"/>
        </w:rPr>
        <w:t>五、法学</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7506"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894"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tcPr>
          <w:tbl>
            <w:tblPr>
              <w:tblStyle w:val="10"/>
              <w:tblW w:w="7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法学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030102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监狱学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030201</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政治学与行政学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国际政治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030203</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外交学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国际事务与国际关系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030205</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政治学、经济学与哲学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社会学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人类学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030304</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女性学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家政学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030501</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科学社会主义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030502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中国共产党历史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030503</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治安学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边防管理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030604</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禁毒学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警犬技术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030606</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经济犯罪侦查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边防指挥</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030608</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消防指挥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警卫学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030610</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公安情报学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犯罪学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公安管理学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涉外警务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030614</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国内安全保卫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警务指挥与战术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030616</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技术侦查学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海警执法</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083107</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火灾勘查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963" w:type="dxa"/>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330101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监所管理</w:t>
                  </w:r>
                </w:p>
              </w:tc>
            </w:tr>
          </w:tbl>
          <w:p>
            <w:pPr>
              <w:pStyle w:val="2"/>
              <w:spacing w:line="360" w:lineRule="exact"/>
              <w:jc w:val="left"/>
              <w:rPr>
                <w:rFonts w:ascii="仿宋_GB2312" w:hAnsi="Times New Roman" w:eastAsia="仿宋_GB2312"/>
                <w:bCs/>
                <w:sz w:val="24"/>
                <w:szCs w:val="24"/>
              </w:rPr>
            </w:pPr>
          </w:p>
        </w:tc>
        <w:tc>
          <w:tcPr>
            <w:tcW w:w="894" w:type="dxa"/>
            <w:tcBorders>
              <w:top w:val="single" w:color="auto" w:sz="4" w:space="0"/>
              <w:left w:val="single" w:color="auto" w:sz="4" w:space="0"/>
              <w:bottom w:val="single" w:color="auto" w:sz="4" w:space="0"/>
            </w:tcBorders>
          </w:tcPr>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政治</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外语</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bCs/>
                <w:sz w:val="24"/>
                <w:szCs w:val="24"/>
              </w:rPr>
            </w:pPr>
            <w:r>
              <w:rPr>
                <w:rFonts w:hint="eastAsia" w:ascii="仿宋_GB2312" w:hAnsi="仿宋" w:eastAsia="仿宋_GB2312"/>
                <w:sz w:val="24"/>
                <w:szCs w:val="24"/>
              </w:rPr>
              <w:t>民法</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bCs/>
          <w:sz w:val="28"/>
          <w:szCs w:val="28"/>
        </w:rPr>
      </w:pPr>
      <w:r>
        <w:rPr>
          <w:rFonts w:hint="eastAsia" w:ascii="黑体" w:hAnsi="黑体" w:eastAsia="黑体"/>
          <w:bCs/>
          <w:sz w:val="28"/>
          <w:szCs w:val="28"/>
        </w:rPr>
        <w:t>六、教育学</w:t>
      </w:r>
    </w:p>
    <w:tbl>
      <w:tblPr>
        <w:tblStyle w:val="10"/>
        <w:tblW w:w="844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91"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950"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w:t>
            </w:r>
          </w:p>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tcPr>
          <w:tbl>
            <w:tblPr>
              <w:tblStyle w:val="10"/>
              <w:tblW w:w="7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040102</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科学教育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人文教育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040104</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艺术教育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040106</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小学教育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040108</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华文教育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040110</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卫生教育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040201</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体育教育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运动训练</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040203</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社会体育指导与管理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武术与民族传统体育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040205</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运动人体科学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运动康复</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040207</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休闲体育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340101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340102</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978" w:type="dxa"/>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340103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双语教育</w:t>
                  </w:r>
                </w:p>
              </w:tc>
            </w:tr>
          </w:tbl>
          <w:p>
            <w:pPr>
              <w:pStyle w:val="2"/>
              <w:spacing w:line="360" w:lineRule="exact"/>
              <w:jc w:val="left"/>
              <w:rPr>
                <w:rFonts w:ascii="仿宋_GB2312" w:hAnsi="Times New Roman" w:eastAsia="仿宋_GB2312"/>
                <w:bCs/>
                <w:sz w:val="24"/>
                <w:szCs w:val="24"/>
              </w:rPr>
            </w:pPr>
          </w:p>
        </w:tc>
        <w:tc>
          <w:tcPr>
            <w:tcW w:w="950" w:type="dxa"/>
            <w:tcBorders>
              <w:top w:val="single" w:color="auto" w:sz="4" w:space="0"/>
              <w:left w:val="single" w:color="auto" w:sz="4" w:space="0"/>
              <w:bottom w:val="single" w:color="auto" w:sz="4" w:space="0"/>
            </w:tcBorders>
          </w:tcPr>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政治</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外语</w:t>
            </w:r>
          </w:p>
          <w:p>
            <w:pPr>
              <w:widowControl/>
              <w:spacing w:line="360" w:lineRule="exact"/>
              <w:jc w:val="center"/>
              <w:rPr>
                <w:rFonts w:ascii="仿宋_GB2312"/>
                <w:sz w:val="24"/>
              </w:rPr>
            </w:pPr>
          </w:p>
          <w:p>
            <w:pPr>
              <w:widowControl/>
              <w:spacing w:line="360" w:lineRule="exact"/>
              <w:jc w:val="center"/>
              <w:rPr>
                <w:rFonts w:ascii="仿宋_GB2312"/>
                <w:bCs/>
                <w:sz w:val="24"/>
              </w:rPr>
            </w:pPr>
            <w:r>
              <w:rPr>
                <w:rFonts w:hint="eastAsia" w:ascii="仿宋_GB2312" w:hAnsi="仿宋"/>
                <w:sz w:val="24"/>
              </w:rPr>
              <w:t>教育理论</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bCs/>
          <w:sz w:val="28"/>
          <w:szCs w:val="28"/>
        </w:rPr>
      </w:pPr>
      <w:r>
        <w:rPr>
          <w:rFonts w:hint="eastAsia" w:ascii="黑体" w:hAnsi="黑体" w:eastAsia="黑体"/>
          <w:bCs/>
          <w:sz w:val="28"/>
          <w:szCs w:val="28"/>
        </w:rPr>
        <w:t>七、农学</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 w:hRule="atLeast"/>
        </w:trPr>
        <w:tc>
          <w:tcPr>
            <w:tcW w:w="7491"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909"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tcPr>
          <w:tbl>
            <w:tblPr>
              <w:tblStyle w:val="10"/>
              <w:tblW w:w="7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603"/>
              <w:gridCol w:w="1087"/>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农学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090102</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090103</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植物保护</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090104</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植物科学与技术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090105</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种子科学与工程</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090106</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设施农业科学与工程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090107</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茶学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090108</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烟草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090109</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应用生物科学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090201</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农业资源与环境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090202</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野生动物与自然保护区管理</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090203</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090301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动物科学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090302</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090303</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蜂学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090401</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090402</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动物药学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090501</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090502</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园林</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090503</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森林保护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水产养殖学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090602</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海洋渔业科学与技术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090603</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水族科学与技术</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090604</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488" w:type="dxa"/>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090701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草业科学</w:t>
                  </w:r>
                </w:p>
              </w:tc>
            </w:tr>
          </w:tbl>
          <w:p>
            <w:pPr>
              <w:pStyle w:val="2"/>
              <w:spacing w:line="360" w:lineRule="exact"/>
              <w:ind w:left="37"/>
              <w:jc w:val="left"/>
              <w:rPr>
                <w:rFonts w:ascii="Times New Roman" w:hAnsi="Times New Roman" w:eastAsia="仿宋"/>
                <w:bCs/>
                <w:sz w:val="24"/>
                <w:szCs w:val="24"/>
              </w:rPr>
            </w:pPr>
          </w:p>
        </w:tc>
        <w:tc>
          <w:tcPr>
            <w:tcW w:w="909" w:type="dxa"/>
            <w:tcBorders>
              <w:top w:val="single" w:color="auto" w:sz="4" w:space="0"/>
              <w:left w:val="single" w:color="auto" w:sz="4" w:space="0"/>
              <w:bottom w:val="single" w:color="auto" w:sz="4" w:space="0"/>
            </w:tcBorders>
          </w:tcPr>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bCs/>
                <w:sz w:val="24"/>
              </w:rPr>
            </w:pPr>
          </w:p>
          <w:p>
            <w:pPr>
              <w:pStyle w:val="2"/>
              <w:spacing w:line="360" w:lineRule="exact"/>
              <w:ind w:left="2" w:leftChars="-71" w:right="-218" w:rightChars="-104" w:hanging="151" w:hangingChars="63"/>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ind w:left="2" w:leftChars="-71" w:right="-218" w:rightChars="-104" w:hanging="151" w:hangingChars="63"/>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bCs/>
                <w:sz w:val="24"/>
                <w:szCs w:val="24"/>
              </w:rPr>
            </w:pPr>
            <w:r>
              <w:rPr>
                <w:rFonts w:hint="eastAsia" w:ascii="Times New Roman" w:hAnsi="仿宋" w:eastAsia="仿宋"/>
                <w:sz w:val="24"/>
                <w:szCs w:val="24"/>
              </w:rPr>
              <w:t>生态学基础</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sz w:val="28"/>
          <w:szCs w:val="28"/>
        </w:rPr>
      </w:pPr>
      <w:r>
        <w:rPr>
          <w:rFonts w:hint="eastAsia" w:ascii="黑体" w:hAnsi="黑体" w:eastAsia="黑体"/>
          <w:bCs/>
          <w:sz w:val="28"/>
          <w:szCs w:val="28"/>
        </w:rPr>
        <w:t>八、医学</w:t>
      </w:r>
      <w:r>
        <w:rPr>
          <w:rFonts w:hint="eastAsia" w:ascii="黑体" w:hAnsi="黑体" w:eastAsia="黑体"/>
          <w:sz w:val="28"/>
          <w:szCs w:val="28"/>
        </w:rPr>
        <w:t>（中医学类、药学类等两个一级学科除外）</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6"/>
        <w:gridCol w:w="9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trPr>
        <w:tc>
          <w:tcPr>
            <w:tcW w:w="7476"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924"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6" w:type="dxa"/>
            <w:tcBorders>
              <w:top w:val="single" w:color="auto" w:sz="4" w:space="0"/>
              <w:bottom w:val="single" w:color="auto" w:sz="4" w:space="0"/>
              <w:right w:val="single" w:color="auto" w:sz="4" w:space="0"/>
            </w:tcBorders>
          </w:tcPr>
          <w:tbl>
            <w:tblPr>
              <w:tblStyle w:val="10"/>
              <w:tblW w:w="7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基础医学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100102</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生物医学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生物医学科学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麻醉学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100203</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眼视光医学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100205</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放射医学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100207</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100301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口腔医学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食品卫生与营养学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100403</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卫生监督</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100405</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傣医学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100509</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中医康复学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100511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100512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中医儿科学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100601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100901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法医学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医学实验技术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101003</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眼视光学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101005</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口腔医学技术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101007</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听力与言语康复学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101009</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康复物理治疗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康复作业治疗</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101101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101102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助产学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401101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社区护理学</w:t>
                  </w:r>
                </w:p>
              </w:tc>
            </w:tr>
          </w:tbl>
          <w:p>
            <w:pPr>
              <w:pStyle w:val="2"/>
              <w:spacing w:line="360" w:lineRule="exact"/>
              <w:jc w:val="left"/>
              <w:rPr>
                <w:rFonts w:ascii="仿宋_GB2312" w:hAnsi="Times New Roman" w:eastAsia="仿宋_GB2312"/>
                <w:bCs/>
                <w:sz w:val="24"/>
                <w:szCs w:val="24"/>
              </w:rPr>
            </w:pPr>
          </w:p>
        </w:tc>
        <w:tc>
          <w:tcPr>
            <w:tcW w:w="924" w:type="dxa"/>
            <w:tcBorders>
              <w:top w:val="single" w:color="auto" w:sz="4" w:space="0"/>
              <w:left w:val="single" w:color="auto" w:sz="4" w:space="0"/>
              <w:bottom w:val="single" w:color="auto" w:sz="4" w:space="0"/>
            </w:tcBorders>
          </w:tcPr>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政治</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外语</w:t>
            </w:r>
          </w:p>
          <w:p>
            <w:pPr>
              <w:widowControl/>
              <w:spacing w:line="360" w:lineRule="exact"/>
              <w:jc w:val="center"/>
              <w:rPr>
                <w:rFonts w:ascii="仿宋_GB2312"/>
                <w:sz w:val="24"/>
              </w:rPr>
            </w:pPr>
          </w:p>
          <w:p>
            <w:pPr>
              <w:widowControl/>
              <w:spacing w:line="360" w:lineRule="exact"/>
              <w:jc w:val="center"/>
              <w:rPr>
                <w:rFonts w:ascii="仿宋_GB2312"/>
                <w:bCs/>
                <w:sz w:val="24"/>
              </w:rPr>
            </w:pPr>
            <w:r>
              <w:rPr>
                <w:rFonts w:hint="eastAsia" w:ascii="仿宋_GB2312" w:hAnsi="仿宋"/>
                <w:sz w:val="24"/>
              </w:rPr>
              <w:t>医学综合</w:t>
            </w:r>
          </w:p>
        </w:tc>
      </w:tr>
    </w:tbl>
    <w:p>
      <w:pPr>
        <w:spacing w:line="20" w:lineRule="exact"/>
        <w:rPr>
          <w:shd w:val="clear" w:color="auto" w:fill="FFFFFF"/>
        </w:rPr>
      </w:pPr>
    </w:p>
    <w:p>
      <w:pPr>
        <w:spacing w:line="560" w:lineRule="exact"/>
        <w:rPr>
          <w:rFonts w:ascii="仿宋_GB2312"/>
        </w:rPr>
      </w:pPr>
      <w:bookmarkStart w:id="0" w:name="Body"/>
      <w:bookmarkEnd w:id="0"/>
      <w:bookmarkStart w:id="1" w:name="BodyEnd"/>
      <w:bookmarkEnd w:id="1"/>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（此件主动公开）</w:t>
      </w:r>
    </w:p>
    <w:p>
      <w:pPr>
        <w:pBdr>
          <w:top w:val="single" w:color="auto" w:sz="6" w:space="1"/>
          <w:bottom w:val="single" w:color="auto" w:sz="6" w:space="1"/>
        </w:pBdr>
        <w:tabs>
          <w:tab w:val="left" w:pos="3240"/>
        </w:tabs>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福建省教育厅办公室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年8月</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日印发</w:t>
      </w:r>
    </w:p>
    <w:p>
      <w:pPr>
        <w:tabs>
          <w:tab w:val="left" w:pos="5007"/>
        </w:tabs>
        <w:adjustRightInd w:val="0"/>
        <w:snapToGrid w:val="0"/>
        <w:jc w:val="both"/>
        <w:rPr>
          <w:sz w:val="30"/>
          <w:szCs w:val="30"/>
        </w:rPr>
      </w:pPr>
      <w:bookmarkStart w:id="2" w:name="抄送"/>
      <w:bookmarkEnd w:id="2"/>
    </w:p>
    <w:sectPr>
      <w:headerReference r:id="rId3" w:type="default"/>
      <w:footerReference r:id="rId4" w:type="default"/>
      <w:footerReference r:id="rId5" w:type="even"/>
      <w:pgSz w:w="11906" w:h="16838"/>
      <w:pgMar w:top="1644" w:right="1418" w:bottom="1418" w:left="1644"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方正小标宋_GBK">
    <w:altName w:val="黑体"/>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方正仿宋简体">
    <w:altName w:val="宋体"/>
    <w:panose1 w:val="02010601030101010101"/>
    <w:charset w:val="86"/>
    <w:family w:val="auto"/>
    <w:pitch w:val="default"/>
    <w:sig w:usb0="00000000" w:usb1="00000000" w:usb2="0000001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新宋体-18030">
    <w:altName w:val="宋体"/>
    <w:panose1 w:val="00000000000000000000"/>
    <w:charset w:val="86"/>
    <w:family w:val="auto"/>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7</w:t>
                          </w:r>
                          <w:r>
                            <w:rPr>
                              <w:rFonts w:hint="eastAsia" w:asciiTheme="minorEastAsia" w:hAnsiTheme="minorEastAsia" w:eastAsiaTheme="minorEastAsia" w:cstheme="minor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7</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4EE7"/>
    <w:multiLevelType w:val="singleLevel"/>
    <w:tmpl w:val="5D5A4EE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8068C"/>
    <w:rsid w:val="04322C0F"/>
    <w:rsid w:val="05D843B5"/>
    <w:rsid w:val="06302F47"/>
    <w:rsid w:val="0C2C36DC"/>
    <w:rsid w:val="0F5F6288"/>
    <w:rsid w:val="0FC43628"/>
    <w:rsid w:val="10F2701A"/>
    <w:rsid w:val="11EA1723"/>
    <w:rsid w:val="14622CA4"/>
    <w:rsid w:val="15861192"/>
    <w:rsid w:val="16291056"/>
    <w:rsid w:val="173C7D89"/>
    <w:rsid w:val="1AD51F82"/>
    <w:rsid w:val="1DD412DA"/>
    <w:rsid w:val="1E653BBF"/>
    <w:rsid w:val="1EE46183"/>
    <w:rsid w:val="204105A9"/>
    <w:rsid w:val="20892904"/>
    <w:rsid w:val="22A21F56"/>
    <w:rsid w:val="25853C05"/>
    <w:rsid w:val="269B3E11"/>
    <w:rsid w:val="276C5E86"/>
    <w:rsid w:val="2B3446FE"/>
    <w:rsid w:val="2FD2780F"/>
    <w:rsid w:val="34106910"/>
    <w:rsid w:val="37E56B8F"/>
    <w:rsid w:val="3DD43760"/>
    <w:rsid w:val="40CA64AC"/>
    <w:rsid w:val="462519FA"/>
    <w:rsid w:val="48065A6C"/>
    <w:rsid w:val="481F167C"/>
    <w:rsid w:val="4B5C27E1"/>
    <w:rsid w:val="4E963CEC"/>
    <w:rsid w:val="535A5B30"/>
    <w:rsid w:val="54AD1A3F"/>
    <w:rsid w:val="5663584E"/>
    <w:rsid w:val="58117B8F"/>
    <w:rsid w:val="5ECC5033"/>
    <w:rsid w:val="618075AA"/>
    <w:rsid w:val="6598068C"/>
    <w:rsid w:val="66776191"/>
    <w:rsid w:val="68081853"/>
    <w:rsid w:val="6E8014F6"/>
    <w:rsid w:val="71551E68"/>
    <w:rsid w:val="72F17A56"/>
    <w:rsid w:val="76FB25C0"/>
    <w:rsid w:val="781D6254"/>
    <w:rsid w:val="7A68259D"/>
    <w:rsid w:val="7B5557D9"/>
    <w:rsid w:val="7BD50411"/>
    <w:rsid w:val="7BEF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hint="eastAsia"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4681</Words>
  <Characters>5360</Characters>
  <Lines>0</Lines>
  <Paragraphs>0</Paragraphs>
  <TotalTime>5</TotalTime>
  <ScaleCrop>false</ScaleCrop>
  <LinksUpToDate>false</LinksUpToDate>
  <CharactersWithSpaces>5650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2019-07-08T08:12:00Z</dcterms:created>
  <dc:creator>Administrator</dc:creator>
  <cp:lastModifiedBy>user</cp:lastModifiedBy>
  <cp:lastPrinted>2019-08-19T07:18:00Z</cp:lastPrinted>
  <dcterms:modified xsi:type="dcterms:W3CDTF">2019-08-28T02:56:23Z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